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1F580" w14:textId="77777777" w:rsidR="00AB59BD" w:rsidRPr="00C21EAA" w:rsidRDefault="00AB59BD" w:rsidP="00AB59BD">
      <w:pPr>
        <w:jc w:val="center"/>
        <w:rPr>
          <w:b/>
        </w:rPr>
      </w:pPr>
      <w:r w:rsidRPr="00C21EAA">
        <w:rPr>
          <w:b/>
        </w:rPr>
        <w:t>Atbildes uz uzdotajiem jautājumiem par</w:t>
      </w:r>
    </w:p>
    <w:p w14:paraId="030A13B3" w14:textId="77777777" w:rsidR="00880642" w:rsidRDefault="00880642" w:rsidP="00AB59BD">
      <w:pPr>
        <w:jc w:val="center"/>
        <w:rPr>
          <w:b/>
        </w:rPr>
      </w:pPr>
      <w:r w:rsidRPr="00880642">
        <w:rPr>
          <w:b/>
        </w:rPr>
        <w:t>Modernizācijas fonda finansēto projektu atklāta konkursa</w:t>
      </w:r>
    </w:p>
    <w:p w14:paraId="71AD81C1" w14:textId="0B5BB127" w:rsidR="00AB59BD" w:rsidRPr="00C21EAA" w:rsidRDefault="00880642" w:rsidP="00AB59BD">
      <w:pPr>
        <w:jc w:val="center"/>
        <w:rPr>
          <w:b/>
        </w:rPr>
      </w:pPr>
      <w:r>
        <w:rPr>
          <w:b/>
        </w:rPr>
        <w:t>“</w:t>
      </w:r>
      <w:r w:rsidR="00B84A4A" w:rsidRPr="00B84A4A">
        <w:rPr>
          <w:b/>
        </w:rPr>
        <w:t>Atjaunīgo energoresursu izmantošanas veicināšana daudzdzīvokļu ēkās, valsts un pašvaldību ēkās un energokopienās</w:t>
      </w:r>
      <w:r>
        <w:rPr>
          <w:b/>
        </w:rPr>
        <w:t>”</w:t>
      </w:r>
      <w:r w:rsidRPr="00880642">
        <w:rPr>
          <w:b/>
        </w:rPr>
        <w:t xml:space="preserve"> nolikums</w:t>
      </w:r>
    </w:p>
    <w:p w14:paraId="2857BB61" w14:textId="77777777" w:rsidR="00AB59BD" w:rsidRPr="00C21EAA" w:rsidRDefault="00AB59BD" w:rsidP="00AB59BD"/>
    <w:p w14:paraId="48BC523A" w14:textId="77777777" w:rsidR="00AB59BD" w:rsidRPr="00C21EAA" w:rsidRDefault="00AB59BD" w:rsidP="00AB59BD">
      <w:pPr>
        <w:rPr>
          <w:i/>
        </w:rPr>
      </w:pPr>
      <w:r w:rsidRPr="00C21EAA">
        <w:rPr>
          <w:i/>
        </w:rPr>
        <w:t xml:space="preserve">Lietotie saīsinājumi: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282"/>
        <w:gridCol w:w="12278"/>
      </w:tblGrid>
      <w:tr w:rsidR="00545726" w:rsidRPr="00C21EAA" w14:paraId="04F706C8" w14:textId="77777777" w:rsidTr="005447DA">
        <w:trPr>
          <w:trHeight w:val="56"/>
        </w:trPr>
        <w:tc>
          <w:tcPr>
            <w:tcW w:w="2282" w:type="dxa"/>
          </w:tcPr>
          <w:p w14:paraId="28773EB8" w14:textId="77777777" w:rsidR="00545726" w:rsidRPr="00C21EAA" w:rsidRDefault="00545726" w:rsidP="00BA064C">
            <w:pPr>
              <w:rPr>
                <w:b/>
                <w:sz w:val="20"/>
                <w:szCs w:val="20"/>
              </w:rPr>
            </w:pPr>
            <w:r w:rsidRPr="00C21EAA">
              <w:rPr>
                <w:b/>
                <w:sz w:val="20"/>
                <w:szCs w:val="20"/>
              </w:rPr>
              <w:t>CO</w:t>
            </w:r>
            <w:r w:rsidRPr="00C21EAA">
              <w:rPr>
                <w:b/>
                <w:sz w:val="20"/>
                <w:szCs w:val="20"/>
                <w:vertAlign w:val="subscript"/>
              </w:rPr>
              <w:t>2</w:t>
            </w:r>
          </w:p>
        </w:tc>
        <w:tc>
          <w:tcPr>
            <w:tcW w:w="12278" w:type="dxa"/>
          </w:tcPr>
          <w:p w14:paraId="01ADD5FD" w14:textId="77777777" w:rsidR="00545726" w:rsidRPr="00C21EAA" w:rsidRDefault="00545726" w:rsidP="00BA064C">
            <w:pPr>
              <w:rPr>
                <w:sz w:val="20"/>
                <w:szCs w:val="20"/>
              </w:rPr>
            </w:pPr>
            <w:r w:rsidRPr="00C21EAA">
              <w:rPr>
                <w:sz w:val="20"/>
                <w:szCs w:val="20"/>
              </w:rPr>
              <w:t>Oglekļa dioksīds</w:t>
            </w:r>
          </w:p>
        </w:tc>
      </w:tr>
      <w:tr w:rsidR="005447DA" w:rsidRPr="00C21EAA" w14:paraId="700FC958" w14:textId="77777777" w:rsidTr="005447DA">
        <w:tc>
          <w:tcPr>
            <w:tcW w:w="2282" w:type="dxa"/>
          </w:tcPr>
          <w:p w14:paraId="6FB19CAC" w14:textId="77777777" w:rsidR="005447DA" w:rsidRPr="00C21EAA" w:rsidRDefault="005447DA" w:rsidP="00D14ECA">
            <w:pPr>
              <w:rPr>
                <w:b/>
                <w:sz w:val="20"/>
                <w:szCs w:val="20"/>
              </w:rPr>
            </w:pPr>
            <w:r w:rsidRPr="00C21EAA">
              <w:rPr>
                <w:b/>
                <w:sz w:val="20"/>
                <w:szCs w:val="20"/>
              </w:rPr>
              <w:t>Fonds</w:t>
            </w:r>
          </w:p>
        </w:tc>
        <w:tc>
          <w:tcPr>
            <w:tcW w:w="12278" w:type="dxa"/>
          </w:tcPr>
          <w:p w14:paraId="0BD4716B" w14:textId="77777777" w:rsidR="005447DA" w:rsidRPr="00C21EAA" w:rsidRDefault="005447DA" w:rsidP="00D14ECA">
            <w:pPr>
              <w:rPr>
                <w:sz w:val="20"/>
                <w:szCs w:val="20"/>
              </w:rPr>
            </w:pPr>
            <w:r w:rsidRPr="00C21EAA">
              <w:rPr>
                <w:sz w:val="20"/>
                <w:szCs w:val="20"/>
              </w:rPr>
              <w:t>Valsts sabiedrība ar ierobežotu atbildību “Vides investīciju fonds”</w:t>
            </w:r>
          </w:p>
        </w:tc>
      </w:tr>
      <w:tr w:rsidR="005447DA" w:rsidRPr="00C21EAA" w14:paraId="4F60F739" w14:textId="77777777" w:rsidTr="007637D2">
        <w:tc>
          <w:tcPr>
            <w:tcW w:w="2282" w:type="dxa"/>
          </w:tcPr>
          <w:p w14:paraId="38B8B239" w14:textId="77777777" w:rsidR="005447DA" w:rsidRPr="00C21EAA" w:rsidRDefault="005447DA" w:rsidP="007637D2">
            <w:pPr>
              <w:rPr>
                <w:b/>
                <w:sz w:val="20"/>
                <w:szCs w:val="20"/>
              </w:rPr>
            </w:pPr>
            <w:r w:rsidRPr="00C21EAA">
              <w:rPr>
                <w:b/>
                <w:sz w:val="20"/>
                <w:szCs w:val="20"/>
              </w:rPr>
              <w:t>KEM</w:t>
            </w:r>
          </w:p>
        </w:tc>
        <w:tc>
          <w:tcPr>
            <w:tcW w:w="12278" w:type="dxa"/>
          </w:tcPr>
          <w:p w14:paraId="209A028F" w14:textId="77777777" w:rsidR="005447DA" w:rsidRPr="00C21EAA" w:rsidRDefault="005447DA" w:rsidP="007637D2">
            <w:pPr>
              <w:rPr>
                <w:sz w:val="20"/>
                <w:szCs w:val="20"/>
              </w:rPr>
            </w:pPr>
            <w:r w:rsidRPr="00C21EAA">
              <w:rPr>
                <w:sz w:val="20"/>
                <w:szCs w:val="20"/>
              </w:rPr>
              <w:t>Klimata un enerģētikas ministrija</w:t>
            </w:r>
          </w:p>
        </w:tc>
      </w:tr>
      <w:tr w:rsidR="005447DA" w:rsidRPr="00C21EAA" w14:paraId="12638923" w14:textId="77777777" w:rsidTr="00741729">
        <w:tc>
          <w:tcPr>
            <w:tcW w:w="2282" w:type="dxa"/>
          </w:tcPr>
          <w:p w14:paraId="03D52A87" w14:textId="77777777" w:rsidR="005447DA" w:rsidRPr="00C21EAA" w:rsidRDefault="005447DA" w:rsidP="00741729">
            <w:pPr>
              <w:rPr>
                <w:b/>
                <w:sz w:val="20"/>
                <w:szCs w:val="20"/>
              </w:rPr>
            </w:pPr>
            <w:r>
              <w:rPr>
                <w:b/>
                <w:sz w:val="20"/>
                <w:szCs w:val="20"/>
              </w:rPr>
              <w:t>Konkurss</w:t>
            </w:r>
          </w:p>
        </w:tc>
        <w:tc>
          <w:tcPr>
            <w:tcW w:w="12278" w:type="dxa"/>
          </w:tcPr>
          <w:p w14:paraId="23CD347E" w14:textId="408A7189" w:rsidR="005447DA" w:rsidRPr="00C21EAA" w:rsidRDefault="00AA3309" w:rsidP="00741729">
            <w:pPr>
              <w:rPr>
                <w:sz w:val="20"/>
                <w:szCs w:val="20"/>
              </w:rPr>
            </w:pPr>
            <w:r w:rsidRPr="00AA3309">
              <w:rPr>
                <w:sz w:val="20"/>
                <w:szCs w:val="20"/>
              </w:rPr>
              <w:t>Atjaunīgo energoresursu izmantošanas veicināšana daudzdzīvokļu ēkās, valsts un pašvaldību ēkās un energokopienās</w:t>
            </w:r>
          </w:p>
        </w:tc>
      </w:tr>
      <w:tr w:rsidR="00545726" w:rsidRPr="00C21EAA" w14:paraId="72159615" w14:textId="77777777" w:rsidTr="005447DA">
        <w:tc>
          <w:tcPr>
            <w:tcW w:w="2282" w:type="dxa"/>
          </w:tcPr>
          <w:p w14:paraId="6C53C3A5" w14:textId="44B92DCD" w:rsidR="00545726" w:rsidRPr="00C21EAA" w:rsidRDefault="00880642" w:rsidP="00E71C6E">
            <w:pPr>
              <w:rPr>
                <w:b/>
                <w:sz w:val="20"/>
                <w:szCs w:val="20"/>
              </w:rPr>
            </w:pPr>
            <w:r>
              <w:rPr>
                <w:b/>
                <w:sz w:val="20"/>
                <w:szCs w:val="20"/>
              </w:rPr>
              <w:t>MF</w:t>
            </w:r>
          </w:p>
        </w:tc>
        <w:tc>
          <w:tcPr>
            <w:tcW w:w="12278" w:type="dxa"/>
          </w:tcPr>
          <w:p w14:paraId="64858A40" w14:textId="1B74A629" w:rsidR="00545726" w:rsidRPr="00C21EAA" w:rsidRDefault="00880642" w:rsidP="00E71C6E">
            <w:pPr>
              <w:rPr>
                <w:sz w:val="20"/>
                <w:szCs w:val="20"/>
              </w:rPr>
            </w:pPr>
            <w:r>
              <w:rPr>
                <w:sz w:val="20"/>
                <w:szCs w:val="20"/>
              </w:rPr>
              <w:t>Modernizācijas fonds</w:t>
            </w:r>
            <w:r w:rsidR="00545726" w:rsidRPr="00C21EAA">
              <w:rPr>
                <w:sz w:val="20"/>
                <w:szCs w:val="20"/>
              </w:rPr>
              <w:t xml:space="preserve"> (turpmāk tekstā arī – finanšu instruments)</w:t>
            </w:r>
          </w:p>
        </w:tc>
      </w:tr>
      <w:tr w:rsidR="00AB59BD" w:rsidRPr="00C21EAA" w14:paraId="35574A43" w14:textId="77777777" w:rsidTr="005447DA">
        <w:tc>
          <w:tcPr>
            <w:tcW w:w="2282" w:type="dxa"/>
          </w:tcPr>
          <w:p w14:paraId="39F00157" w14:textId="77777777" w:rsidR="00AB59BD" w:rsidRPr="00C21EAA" w:rsidRDefault="00AB59BD" w:rsidP="00F87C4A">
            <w:pPr>
              <w:rPr>
                <w:b/>
                <w:sz w:val="20"/>
                <w:szCs w:val="20"/>
              </w:rPr>
            </w:pPr>
            <w:r w:rsidRPr="00C21EAA">
              <w:rPr>
                <w:b/>
                <w:sz w:val="20"/>
                <w:szCs w:val="20"/>
              </w:rPr>
              <w:t>MK</w:t>
            </w:r>
          </w:p>
        </w:tc>
        <w:tc>
          <w:tcPr>
            <w:tcW w:w="12278" w:type="dxa"/>
          </w:tcPr>
          <w:p w14:paraId="47702C10" w14:textId="77777777" w:rsidR="00AB59BD" w:rsidRPr="00C21EAA" w:rsidRDefault="00AB59BD" w:rsidP="00F87C4A">
            <w:pPr>
              <w:rPr>
                <w:sz w:val="20"/>
                <w:szCs w:val="20"/>
              </w:rPr>
            </w:pPr>
            <w:r w:rsidRPr="00C21EAA">
              <w:rPr>
                <w:sz w:val="20"/>
                <w:szCs w:val="20"/>
              </w:rPr>
              <w:t>Ministru kabinets</w:t>
            </w:r>
          </w:p>
        </w:tc>
      </w:tr>
      <w:tr w:rsidR="00AB59BD" w:rsidRPr="00C21EAA" w14:paraId="0941F568" w14:textId="77777777" w:rsidTr="005447DA">
        <w:tc>
          <w:tcPr>
            <w:tcW w:w="2282" w:type="dxa"/>
          </w:tcPr>
          <w:p w14:paraId="70C8CE1E" w14:textId="1F23FCD2" w:rsidR="00AB59BD" w:rsidRPr="00C21EAA" w:rsidRDefault="00AB59BD" w:rsidP="00266A78">
            <w:pPr>
              <w:rPr>
                <w:b/>
                <w:sz w:val="20"/>
                <w:szCs w:val="20"/>
              </w:rPr>
            </w:pPr>
            <w:r w:rsidRPr="00C21EAA">
              <w:rPr>
                <w:b/>
                <w:sz w:val="20"/>
                <w:szCs w:val="20"/>
              </w:rPr>
              <w:t>MK noteikumi Nr.</w:t>
            </w:r>
            <w:r w:rsidR="00565C90">
              <w:rPr>
                <w:b/>
                <w:sz w:val="20"/>
                <w:szCs w:val="20"/>
              </w:rPr>
              <w:t> </w:t>
            </w:r>
            <w:r w:rsidR="00880642">
              <w:rPr>
                <w:b/>
                <w:sz w:val="20"/>
                <w:szCs w:val="20"/>
              </w:rPr>
              <w:t>7</w:t>
            </w:r>
            <w:r w:rsidR="00787FBD">
              <w:rPr>
                <w:b/>
                <w:sz w:val="20"/>
                <w:szCs w:val="20"/>
              </w:rPr>
              <w:t>4</w:t>
            </w:r>
          </w:p>
        </w:tc>
        <w:tc>
          <w:tcPr>
            <w:tcW w:w="12278" w:type="dxa"/>
          </w:tcPr>
          <w:p w14:paraId="629856AC" w14:textId="4AF96406" w:rsidR="00AB59BD" w:rsidRPr="00C21EAA" w:rsidRDefault="00AB59BD" w:rsidP="00545726">
            <w:pPr>
              <w:rPr>
                <w:sz w:val="20"/>
                <w:szCs w:val="20"/>
              </w:rPr>
            </w:pPr>
            <w:r w:rsidRPr="00C21EAA">
              <w:rPr>
                <w:sz w:val="20"/>
                <w:szCs w:val="20"/>
              </w:rPr>
              <w:t>Ministru kabineta 20</w:t>
            </w:r>
            <w:r w:rsidR="00880642">
              <w:rPr>
                <w:sz w:val="20"/>
                <w:szCs w:val="20"/>
              </w:rPr>
              <w:t>2</w:t>
            </w:r>
            <w:r w:rsidR="00B84A4A">
              <w:rPr>
                <w:sz w:val="20"/>
                <w:szCs w:val="20"/>
              </w:rPr>
              <w:t>6</w:t>
            </w:r>
            <w:r w:rsidRPr="00C21EAA">
              <w:rPr>
                <w:sz w:val="20"/>
                <w:szCs w:val="20"/>
              </w:rPr>
              <w:t>.</w:t>
            </w:r>
            <w:r w:rsidR="00B84A4A">
              <w:rPr>
                <w:sz w:val="20"/>
                <w:szCs w:val="20"/>
              </w:rPr>
              <w:t> </w:t>
            </w:r>
            <w:r w:rsidRPr="00C21EAA">
              <w:rPr>
                <w:sz w:val="20"/>
                <w:szCs w:val="20"/>
              </w:rPr>
              <w:t xml:space="preserve">gada </w:t>
            </w:r>
            <w:r w:rsidR="00B84A4A">
              <w:rPr>
                <w:sz w:val="20"/>
                <w:szCs w:val="20"/>
              </w:rPr>
              <w:t>17</w:t>
            </w:r>
            <w:r w:rsidRPr="00C21EAA">
              <w:rPr>
                <w:sz w:val="20"/>
                <w:szCs w:val="20"/>
              </w:rPr>
              <w:t>.</w:t>
            </w:r>
            <w:r w:rsidR="00B84A4A">
              <w:rPr>
                <w:sz w:val="20"/>
                <w:szCs w:val="20"/>
              </w:rPr>
              <w:t> februāra</w:t>
            </w:r>
            <w:r w:rsidRPr="00C21EAA">
              <w:rPr>
                <w:sz w:val="20"/>
                <w:szCs w:val="20"/>
              </w:rPr>
              <w:t xml:space="preserve"> noteikumi Nr.</w:t>
            </w:r>
            <w:r w:rsidR="00545726" w:rsidRPr="00C21EAA">
              <w:rPr>
                <w:sz w:val="20"/>
                <w:szCs w:val="20"/>
              </w:rPr>
              <w:t xml:space="preserve"> </w:t>
            </w:r>
            <w:r w:rsidR="00880642">
              <w:rPr>
                <w:sz w:val="20"/>
                <w:szCs w:val="20"/>
              </w:rPr>
              <w:t>7</w:t>
            </w:r>
            <w:r w:rsidR="00B84A4A">
              <w:rPr>
                <w:sz w:val="20"/>
                <w:szCs w:val="20"/>
              </w:rPr>
              <w:t>4</w:t>
            </w:r>
            <w:r w:rsidRPr="00C21EAA">
              <w:rPr>
                <w:sz w:val="20"/>
                <w:szCs w:val="20"/>
              </w:rPr>
              <w:t xml:space="preserve"> </w:t>
            </w:r>
            <w:r w:rsidR="00545726" w:rsidRPr="00C21EAA">
              <w:rPr>
                <w:sz w:val="20"/>
                <w:szCs w:val="20"/>
              </w:rPr>
              <w:t>“</w:t>
            </w:r>
            <w:r w:rsidR="00880642" w:rsidRPr="00880642">
              <w:rPr>
                <w:sz w:val="20"/>
                <w:szCs w:val="20"/>
              </w:rPr>
              <w:t>Modernizācijas fonda finansēto projektu atklāta konkursa</w:t>
            </w:r>
            <w:r w:rsidR="00545726" w:rsidRPr="00C21EAA">
              <w:rPr>
                <w:sz w:val="20"/>
                <w:szCs w:val="20"/>
              </w:rPr>
              <w:t xml:space="preserve"> “</w:t>
            </w:r>
            <w:r w:rsidR="00B84A4A" w:rsidRPr="00B84A4A">
              <w:rPr>
                <w:sz w:val="20"/>
                <w:szCs w:val="20"/>
              </w:rPr>
              <w:t>Atjaunīgo energoresursu izmantošanas veicināšana daudzdzīvokļu ēkās, valsts un pašvaldību ēkās un energokopienās</w:t>
            </w:r>
            <w:r w:rsidR="00545726" w:rsidRPr="00C21EAA">
              <w:rPr>
                <w:sz w:val="20"/>
                <w:szCs w:val="20"/>
              </w:rPr>
              <w:t>” nolikums</w:t>
            </w:r>
            <w:r w:rsidRPr="00C21EAA">
              <w:rPr>
                <w:sz w:val="20"/>
                <w:szCs w:val="20"/>
              </w:rPr>
              <w:t>”</w:t>
            </w:r>
            <w:r w:rsidR="00545726" w:rsidRPr="00C21EAA">
              <w:rPr>
                <w:sz w:val="20"/>
                <w:szCs w:val="20"/>
              </w:rPr>
              <w:t xml:space="preserve"> (</w:t>
            </w:r>
            <w:hyperlink r:id="rId8" w:history="1">
              <w:r w:rsidR="00B84A4A" w:rsidRPr="00B84A4A">
                <w:rPr>
                  <w:rStyle w:val="Hyperlink"/>
                  <w:sz w:val="20"/>
                  <w:szCs w:val="20"/>
                </w:rPr>
                <w:t>https://likumi.lv/ta/id/366525</w:t>
              </w:r>
            </w:hyperlink>
            <w:r w:rsidR="00545726" w:rsidRPr="00C21EAA">
              <w:rPr>
                <w:sz w:val="20"/>
                <w:szCs w:val="20"/>
              </w:rPr>
              <w:t>)</w:t>
            </w:r>
          </w:p>
        </w:tc>
      </w:tr>
      <w:tr w:rsidR="00545726" w:rsidRPr="00C21EAA" w14:paraId="56520D76" w14:textId="77777777" w:rsidTr="005447DA">
        <w:trPr>
          <w:trHeight w:val="56"/>
        </w:trPr>
        <w:tc>
          <w:tcPr>
            <w:tcW w:w="2282" w:type="dxa"/>
          </w:tcPr>
          <w:p w14:paraId="14334D7E" w14:textId="77777777" w:rsidR="00545726" w:rsidRPr="00C21EAA" w:rsidRDefault="00545726" w:rsidP="0043255E">
            <w:pPr>
              <w:rPr>
                <w:b/>
                <w:sz w:val="20"/>
                <w:szCs w:val="20"/>
              </w:rPr>
            </w:pPr>
            <w:r w:rsidRPr="00C21EAA">
              <w:rPr>
                <w:b/>
                <w:sz w:val="20"/>
                <w:szCs w:val="20"/>
              </w:rPr>
              <w:t>N/A</w:t>
            </w:r>
          </w:p>
        </w:tc>
        <w:tc>
          <w:tcPr>
            <w:tcW w:w="12278" w:type="dxa"/>
          </w:tcPr>
          <w:p w14:paraId="0F30985E" w14:textId="77777777" w:rsidR="00545726" w:rsidRPr="00C21EAA" w:rsidRDefault="00545726" w:rsidP="0043255E">
            <w:pPr>
              <w:rPr>
                <w:sz w:val="20"/>
                <w:szCs w:val="20"/>
              </w:rPr>
            </w:pPr>
            <w:r w:rsidRPr="00C21EAA">
              <w:rPr>
                <w:sz w:val="20"/>
                <w:szCs w:val="20"/>
              </w:rPr>
              <w:t>Nav attiecināms</w:t>
            </w:r>
          </w:p>
        </w:tc>
      </w:tr>
      <w:tr w:rsidR="005447DA" w:rsidRPr="00C21EAA" w14:paraId="38741B35" w14:textId="77777777" w:rsidTr="005447DA">
        <w:trPr>
          <w:trHeight w:val="56"/>
        </w:trPr>
        <w:tc>
          <w:tcPr>
            <w:tcW w:w="2282" w:type="dxa"/>
          </w:tcPr>
          <w:p w14:paraId="4CEDE7F4" w14:textId="17BC31BC" w:rsidR="005447DA" w:rsidRPr="00C21EAA" w:rsidRDefault="005447DA" w:rsidP="0043255E">
            <w:pPr>
              <w:rPr>
                <w:b/>
                <w:sz w:val="20"/>
                <w:szCs w:val="20"/>
              </w:rPr>
            </w:pPr>
            <w:r>
              <w:rPr>
                <w:b/>
                <w:sz w:val="20"/>
                <w:szCs w:val="20"/>
              </w:rPr>
              <w:t xml:space="preserve">Regula </w:t>
            </w:r>
            <w:r w:rsidRPr="005447DA">
              <w:rPr>
                <w:b/>
                <w:sz w:val="20"/>
                <w:szCs w:val="20"/>
              </w:rPr>
              <w:t>Nr.</w:t>
            </w:r>
            <w:r w:rsidR="00565C90">
              <w:rPr>
                <w:b/>
                <w:sz w:val="20"/>
                <w:szCs w:val="20"/>
              </w:rPr>
              <w:t> </w:t>
            </w:r>
            <w:r w:rsidRPr="005447DA">
              <w:rPr>
                <w:b/>
                <w:sz w:val="20"/>
                <w:szCs w:val="20"/>
              </w:rPr>
              <w:t>2023/2831</w:t>
            </w:r>
          </w:p>
        </w:tc>
        <w:tc>
          <w:tcPr>
            <w:tcW w:w="12278" w:type="dxa"/>
          </w:tcPr>
          <w:p w14:paraId="5DE86B95" w14:textId="06D5A94A" w:rsidR="005447DA" w:rsidRPr="00C21EAA" w:rsidRDefault="005447DA" w:rsidP="0043255E">
            <w:pPr>
              <w:rPr>
                <w:sz w:val="20"/>
                <w:szCs w:val="20"/>
              </w:rPr>
            </w:pPr>
            <w:r w:rsidRPr="005447DA">
              <w:rPr>
                <w:sz w:val="20"/>
                <w:szCs w:val="20"/>
              </w:rPr>
              <w:t>Komisijas 2023.</w:t>
            </w:r>
            <w:r w:rsidR="00B84A4A">
              <w:rPr>
                <w:sz w:val="20"/>
                <w:szCs w:val="20"/>
              </w:rPr>
              <w:t> </w:t>
            </w:r>
            <w:r w:rsidRPr="005447DA">
              <w:rPr>
                <w:sz w:val="20"/>
                <w:szCs w:val="20"/>
              </w:rPr>
              <w:t>gada 13.</w:t>
            </w:r>
            <w:r w:rsidR="00B84A4A">
              <w:rPr>
                <w:sz w:val="20"/>
                <w:szCs w:val="20"/>
              </w:rPr>
              <w:t> </w:t>
            </w:r>
            <w:r w:rsidRPr="005447DA">
              <w:rPr>
                <w:sz w:val="20"/>
                <w:szCs w:val="20"/>
              </w:rPr>
              <w:t>decembra Regul</w:t>
            </w:r>
            <w:r>
              <w:rPr>
                <w:sz w:val="20"/>
                <w:szCs w:val="20"/>
              </w:rPr>
              <w:t>a</w:t>
            </w:r>
            <w:r w:rsidRPr="005447DA">
              <w:rPr>
                <w:sz w:val="20"/>
                <w:szCs w:val="20"/>
              </w:rPr>
              <w:t xml:space="preserve"> (ES) Nr.</w:t>
            </w:r>
            <w:r w:rsidR="00B84A4A">
              <w:rPr>
                <w:sz w:val="20"/>
                <w:szCs w:val="20"/>
              </w:rPr>
              <w:t> </w:t>
            </w:r>
            <w:r w:rsidRPr="005447DA">
              <w:rPr>
                <w:sz w:val="20"/>
                <w:szCs w:val="20"/>
              </w:rPr>
              <w:t>2023/2831</w:t>
            </w:r>
            <w:r>
              <w:rPr>
                <w:sz w:val="20"/>
                <w:szCs w:val="20"/>
              </w:rPr>
              <w:t xml:space="preserve"> (</w:t>
            </w:r>
            <w:hyperlink r:id="rId9" w:history="1">
              <w:r w:rsidRPr="00CA03FE">
                <w:rPr>
                  <w:rStyle w:val="Hyperlink"/>
                  <w:sz w:val="20"/>
                  <w:szCs w:val="20"/>
                </w:rPr>
                <w:t>https://eur-lex.europa.eu/eli/reg/2023/2831/oj/?locale=LV</w:t>
              </w:r>
            </w:hyperlink>
            <w:r>
              <w:rPr>
                <w:sz w:val="20"/>
                <w:szCs w:val="20"/>
              </w:rPr>
              <w:t>)</w:t>
            </w:r>
          </w:p>
        </w:tc>
      </w:tr>
      <w:tr w:rsidR="005447DA" w:rsidRPr="00C21EAA" w14:paraId="2E2C97EC" w14:textId="77777777" w:rsidTr="005447DA">
        <w:trPr>
          <w:trHeight w:val="56"/>
        </w:trPr>
        <w:tc>
          <w:tcPr>
            <w:tcW w:w="2282" w:type="dxa"/>
          </w:tcPr>
          <w:p w14:paraId="3FE813B9" w14:textId="2C0739DD" w:rsidR="005447DA" w:rsidRDefault="005447DA" w:rsidP="0043255E">
            <w:pPr>
              <w:rPr>
                <w:b/>
                <w:sz w:val="20"/>
                <w:szCs w:val="20"/>
              </w:rPr>
            </w:pPr>
            <w:r>
              <w:rPr>
                <w:b/>
                <w:sz w:val="20"/>
                <w:szCs w:val="20"/>
              </w:rPr>
              <w:t xml:space="preserve">Regula </w:t>
            </w:r>
            <w:r w:rsidRPr="005447DA">
              <w:rPr>
                <w:b/>
                <w:sz w:val="20"/>
                <w:szCs w:val="20"/>
              </w:rPr>
              <w:t>Nr.</w:t>
            </w:r>
            <w:r w:rsidR="00565C90">
              <w:rPr>
                <w:b/>
                <w:sz w:val="20"/>
                <w:szCs w:val="20"/>
              </w:rPr>
              <w:t> </w:t>
            </w:r>
            <w:r w:rsidRPr="005447DA">
              <w:rPr>
                <w:b/>
                <w:sz w:val="20"/>
                <w:szCs w:val="20"/>
              </w:rPr>
              <w:t>651/2014</w:t>
            </w:r>
          </w:p>
        </w:tc>
        <w:tc>
          <w:tcPr>
            <w:tcW w:w="12278" w:type="dxa"/>
          </w:tcPr>
          <w:p w14:paraId="4549757A" w14:textId="19309EAB" w:rsidR="005447DA" w:rsidRPr="00C21EAA" w:rsidRDefault="005447DA" w:rsidP="0043255E">
            <w:pPr>
              <w:rPr>
                <w:sz w:val="20"/>
                <w:szCs w:val="20"/>
              </w:rPr>
            </w:pPr>
            <w:r w:rsidRPr="005447DA">
              <w:rPr>
                <w:sz w:val="20"/>
                <w:szCs w:val="20"/>
              </w:rPr>
              <w:t>Komisijas 2014.</w:t>
            </w:r>
            <w:r w:rsidR="00B84A4A">
              <w:rPr>
                <w:sz w:val="20"/>
                <w:szCs w:val="20"/>
              </w:rPr>
              <w:t> </w:t>
            </w:r>
            <w:r w:rsidRPr="005447DA">
              <w:rPr>
                <w:sz w:val="20"/>
                <w:szCs w:val="20"/>
              </w:rPr>
              <w:t>gada 17.</w:t>
            </w:r>
            <w:r w:rsidR="00B84A4A">
              <w:rPr>
                <w:sz w:val="20"/>
                <w:szCs w:val="20"/>
              </w:rPr>
              <w:t> </w:t>
            </w:r>
            <w:r w:rsidRPr="005447DA">
              <w:rPr>
                <w:sz w:val="20"/>
                <w:szCs w:val="20"/>
              </w:rPr>
              <w:t>jūnija regula (ES) Nr.</w:t>
            </w:r>
            <w:r w:rsidR="00B84A4A">
              <w:rPr>
                <w:sz w:val="20"/>
                <w:szCs w:val="20"/>
              </w:rPr>
              <w:t> </w:t>
            </w:r>
            <w:r w:rsidRPr="005447DA">
              <w:rPr>
                <w:sz w:val="20"/>
                <w:szCs w:val="20"/>
              </w:rPr>
              <w:t>651/2014</w:t>
            </w:r>
            <w:r>
              <w:rPr>
                <w:sz w:val="20"/>
                <w:szCs w:val="20"/>
              </w:rPr>
              <w:t xml:space="preserve"> (</w:t>
            </w:r>
            <w:hyperlink r:id="rId10" w:history="1">
              <w:r w:rsidRPr="00CA03FE">
                <w:rPr>
                  <w:rStyle w:val="Hyperlink"/>
                  <w:sz w:val="20"/>
                  <w:szCs w:val="20"/>
                </w:rPr>
                <w:t>https://eur-lex.europa.eu/legal-content/LV/TXT/?uri=CELEX%3A02014R0651-20230701</w:t>
              </w:r>
            </w:hyperlink>
            <w:r>
              <w:rPr>
                <w:sz w:val="20"/>
                <w:szCs w:val="20"/>
              </w:rPr>
              <w:t>)</w:t>
            </w:r>
          </w:p>
        </w:tc>
      </w:tr>
    </w:tbl>
    <w:p w14:paraId="2CC7AC74" w14:textId="77777777" w:rsidR="00E557A1" w:rsidRPr="00C21EAA" w:rsidRDefault="00E557A1" w:rsidP="00AB59BD"/>
    <w:tbl>
      <w:tblPr>
        <w:tblStyle w:val="TableGrid"/>
        <w:tblW w:w="5000" w:type="pct"/>
        <w:tblLayout w:type="fixed"/>
        <w:tblCellMar>
          <w:left w:w="28" w:type="dxa"/>
          <w:right w:w="28" w:type="dxa"/>
        </w:tblCellMar>
        <w:tblLook w:val="04A0" w:firstRow="1" w:lastRow="0" w:firstColumn="1" w:lastColumn="0" w:noHBand="0" w:noVBand="1"/>
      </w:tblPr>
      <w:tblGrid>
        <w:gridCol w:w="644"/>
        <w:gridCol w:w="4738"/>
        <w:gridCol w:w="9178"/>
      </w:tblGrid>
      <w:tr w:rsidR="00AB59BD" w:rsidRPr="00C21EAA" w14:paraId="7DE983CE" w14:textId="77777777" w:rsidTr="00B84A4A">
        <w:trPr>
          <w:cantSplit/>
          <w:tblHeader/>
        </w:trPr>
        <w:tc>
          <w:tcPr>
            <w:tcW w:w="644" w:type="dxa"/>
            <w:shd w:val="clear" w:color="auto" w:fill="C2D69B" w:themeFill="accent3" w:themeFillTint="99"/>
            <w:vAlign w:val="center"/>
          </w:tcPr>
          <w:p w14:paraId="7BAD185A" w14:textId="77777777" w:rsidR="00AB59BD" w:rsidRPr="00C21EAA" w:rsidRDefault="00AB59BD" w:rsidP="00AB59BD">
            <w:pPr>
              <w:jc w:val="center"/>
              <w:rPr>
                <w:b/>
              </w:rPr>
            </w:pPr>
            <w:bookmarkStart w:id="0" w:name="_Hlk174433769"/>
            <w:bookmarkStart w:id="1" w:name="_Hlk174432876"/>
            <w:r w:rsidRPr="00C21EAA">
              <w:rPr>
                <w:b/>
              </w:rPr>
              <w:t>Nr.p.k.</w:t>
            </w:r>
          </w:p>
        </w:tc>
        <w:tc>
          <w:tcPr>
            <w:tcW w:w="4738" w:type="dxa"/>
            <w:shd w:val="clear" w:color="auto" w:fill="C2D69B" w:themeFill="accent3" w:themeFillTint="99"/>
            <w:vAlign w:val="center"/>
          </w:tcPr>
          <w:p w14:paraId="3A8C2DA1" w14:textId="77777777" w:rsidR="00AB59BD" w:rsidRPr="00C21EAA" w:rsidRDefault="00AB59BD" w:rsidP="00F87C4A">
            <w:pPr>
              <w:rPr>
                <w:b/>
              </w:rPr>
            </w:pPr>
            <w:r w:rsidRPr="00C21EAA">
              <w:rPr>
                <w:b/>
              </w:rPr>
              <w:t>Jautājums</w:t>
            </w:r>
          </w:p>
        </w:tc>
        <w:tc>
          <w:tcPr>
            <w:tcW w:w="9178" w:type="dxa"/>
            <w:shd w:val="clear" w:color="auto" w:fill="C2D69B" w:themeFill="accent3" w:themeFillTint="99"/>
            <w:vAlign w:val="center"/>
          </w:tcPr>
          <w:p w14:paraId="2EBF59EC" w14:textId="77777777" w:rsidR="00AB59BD" w:rsidRPr="00C21EAA" w:rsidRDefault="00AB59BD" w:rsidP="00F87C4A">
            <w:pPr>
              <w:rPr>
                <w:b/>
              </w:rPr>
            </w:pPr>
            <w:r w:rsidRPr="00C21EAA">
              <w:rPr>
                <w:b/>
              </w:rPr>
              <w:t>Atbilde</w:t>
            </w:r>
          </w:p>
        </w:tc>
      </w:tr>
      <w:tr w:rsidR="00AB59BD" w:rsidRPr="00C21EAA" w14:paraId="5914A9C3" w14:textId="77777777" w:rsidTr="00B84A4A">
        <w:trPr>
          <w:cantSplit/>
        </w:trPr>
        <w:tc>
          <w:tcPr>
            <w:tcW w:w="644" w:type="dxa"/>
          </w:tcPr>
          <w:p w14:paraId="02726436" w14:textId="3983F200" w:rsidR="00AB59BD" w:rsidRPr="00C21EAA" w:rsidRDefault="00183B55" w:rsidP="00AB59BD">
            <w:pPr>
              <w:jc w:val="center"/>
              <w:rPr>
                <w:szCs w:val="22"/>
              </w:rPr>
            </w:pPr>
            <w:r w:rsidRPr="00C21EAA">
              <w:rPr>
                <w:szCs w:val="22"/>
              </w:rPr>
              <w:t>1.</w:t>
            </w:r>
          </w:p>
        </w:tc>
        <w:tc>
          <w:tcPr>
            <w:tcW w:w="4738" w:type="dxa"/>
          </w:tcPr>
          <w:p w14:paraId="6E334A81" w14:textId="08E8A8C3" w:rsidR="00AB59BD" w:rsidRPr="00C21EAA" w:rsidRDefault="00B84A4A" w:rsidP="00183B55">
            <w:pPr>
              <w:jc w:val="both"/>
              <w:rPr>
                <w:szCs w:val="22"/>
              </w:rPr>
            </w:pPr>
            <w:r>
              <w:rPr>
                <w:szCs w:val="22"/>
              </w:rPr>
              <w:t>V</w:t>
            </w:r>
            <w:r w:rsidRPr="00B84A4A">
              <w:rPr>
                <w:szCs w:val="22"/>
              </w:rPr>
              <w:t>ai saražotā elektroenerģija obligāti jāizmanto apkures vajadzībām?</w:t>
            </w:r>
          </w:p>
        </w:tc>
        <w:tc>
          <w:tcPr>
            <w:tcW w:w="9178" w:type="dxa"/>
          </w:tcPr>
          <w:p w14:paraId="40BE216A" w14:textId="1B3695B1" w:rsidR="00AB59BD" w:rsidRPr="009D5759" w:rsidRDefault="009D5759" w:rsidP="0000041C">
            <w:pPr>
              <w:jc w:val="both"/>
              <w:rPr>
                <w:rFonts w:eastAsiaTheme="minorHAnsi"/>
                <w:szCs w:val="22"/>
              </w:rPr>
            </w:pPr>
            <w:r w:rsidRPr="009D5759">
              <w:rPr>
                <w:rFonts w:eastAsiaTheme="minorHAnsi"/>
                <w:szCs w:val="22"/>
              </w:rPr>
              <w:t>MK noteikum</w:t>
            </w:r>
            <w:r>
              <w:rPr>
                <w:rFonts w:eastAsiaTheme="minorHAnsi"/>
                <w:szCs w:val="22"/>
              </w:rPr>
              <w:t>u</w:t>
            </w:r>
            <w:r w:rsidRPr="009D5759">
              <w:rPr>
                <w:rFonts w:eastAsiaTheme="minorHAnsi"/>
                <w:szCs w:val="22"/>
              </w:rPr>
              <w:t xml:space="preserve"> Nr.</w:t>
            </w:r>
            <w:r w:rsidR="00B84A4A">
              <w:rPr>
                <w:rFonts w:eastAsiaTheme="minorHAnsi"/>
                <w:szCs w:val="22"/>
              </w:rPr>
              <w:t> </w:t>
            </w:r>
            <w:r w:rsidRPr="009D5759">
              <w:rPr>
                <w:rFonts w:eastAsiaTheme="minorHAnsi"/>
                <w:szCs w:val="22"/>
              </w:rPr>
              <w:t>7</w:t>
            </w:r>
            <w:r w:rsidR="00B84A4A">
              <w:rPr>
                <w:rFonts w:eastAsiaTheme="minorHAnsi"/>
                <w:szCs w:val="22"/>
              </w:rPr>
              <w:t>4</w:t>
            </w:r>
            <w:r>
              <w:rPr>
                <w:rFonts w:eastAsiaTheme="minorHAnsi"/>
                <w:szCs w:val="22"/>
              </w:rPr>
              <w:t xml:space="preserve"> </w:t>
            </w:r>
            <w:r w:rsidR="00B84A4A" w:rsidRPr="00B84A4A">
              <w:rPr>
                <w:rFonts w:eastAsiaTheme="minorHAnsi"/>
                <w:b/>
                <w:bCs/>
                <w:szCs w:val="22"/>
              </w:rPr>
              <w:t>neparedz nosacījumu, ka saražotā elektroenerģija obligāti jāizmanto apkures vajadzībām</w:t>
            </w:r>
            <w:r>
              <w:rPr>
                <w:rFonts w:eastAsiaTheme="minorHAnsi"/>
                <w:szCs w:val="22"/>
              </w:rPr>
              <w:t xml:space="preserve">. </w:t>
            </w:r>
            <w:r w:rsidR="001B4908">
              <w:rPr>
                <w:rFonts w:eastAsiaTheme="minorHAnsi"/>
                <w:szCs w:val="22"/>
              </w:rPr>
              <w:t xml:space="preserve">Ja </w:t>
            </w:r>
            <w:r w:rsidR="001B4908" w:rsidRPr="001B4908">
              <w:rPr>
                <w:rFonts w:eastAsiaTheme="minorHAnsi"/>
                <w:szCs w:val="22"/>
              </w:rPr>
              <w:t xml:space="preserve">projekta iesniegumā iekļautās aktivitātes plānots īstenot ēkā, ēku grupā vai uz zemes, </w:t>
            </w:r>
            <w:r w:rsidR="001B4908" w:rsidRPr="000E6925">
              <w:rPr>
                <w:rFonts w:eastAsiaTheme="minorHAnsi"/>
                <w:szCs w:val="22"/>
                <w:u w:val="single"/>
              </w:rPr>
              <w:t>kas netiek izmantota saimnieciskās darbības veikšanai</w:t>
            </w:r>
            <w:r w:rsidR="001B4908" w:rsidRPr="001B4908">
              <w:rPr>
                <w:rFonts w:eastAsiaTheme="minorHAnsi"/>
                <w:szCs w:val="22"/>
              </w:rPr>
              <w:t>, un MK noteikum</w:t>
            </w:r>
            <w:r w:rsidR="001B4908">
              <w:rPr>
                <w:rFonts w:eastAsiaTheme="minorHAnsi"/>
                <w:szCs w:val="22"/>
              </w:rPr>
              <w:t>u</w:t>
            </w:r>
            <w:r w:rsidR="001B4908" w:rsidRPr="001B4908">
              <w:rPr>
                <w:rFonts w:eastAsiaTheme="minorHAnsi"/>
                <w:szCs w:val="22"/>
              </w:rPr>
              <w:t xml:space="preserve"> Nr.</w:t>
            </w:r>
            <w:r w:rsidR="001B4908">
              <w:rPr>
                <w:rFonts w:eastAsiaTheme="minorHAnsi"/>
                <w:szCs w:val="22"/>
              </w:rPr>
              <w:t> </w:t>
            </w:r>
            <w:r w:rsidR="001B4908" w:rsidRPr="001B4908">
              <w:rPr>
                <w:rFonts w:eastAsiaTheme="minorHAnsi"/>
                <w:szCs w:val="22"/>
              </w:rPr>
              <w:t>7</w:t>
            </w:r>
            <w:r w:rsidR="00787FBD">
              <w:rPr>
                <w:rFonts w:eastAsiaTheme="minorHAnsi"/>
                <w:szCs w:val="22"/>
              </w:rPr>
              <w:t>4</w:t>
            </w:r>
            <w:r w:rsidR="001B4908">
              <w:rPr>
                <w:rFonts w:eastAsiaTheme="minorHAnsi"/>
                <w:szCs w:val="22"/>
              </w:rPr>
              <w:t xml:space="preserve"> </w:t>
            </w:r>
            <w:r w:rsidR="001B4908" w:rsidRPr="001B4908">
              <w:rPr>
                <w:rFonts w:eastAsiaTheme="minorHAnsi"/>
                <w:szCs w:val="22"/>
              </w:rPr>
              <w:t>ietvaros piešķirtais atbalsts nav kvalificējams kā komercdarbības atbalsts</w:t>
            </w:r>
            <w:r w:rsidR="001B4908">
              <w:rPr>
                <w:rFonts w:eastAsiaTheme="minorHAnsi"/>
                <w:szCs w:val="22"/>
              </w:rPr>
              <w:t>, tad</w:t>
            </w:r>
            <w:r w:rsidR="000E6925">
              <w:t xml:space="preserve"> </w:t>
            </w:r>
            <w:r w:rsidR="000E6925" w:rsidRPr="000E6925">
              <w:rPr>
                <w:rFonts w:eastAsiaTheme="minorHAnsi"/>
                <w:szCs w:val="22"/>
              </w:rPr>
              <w:t xml:space="preserve">vismaz 80 % apjomā </w:t>
            </w:r>
            <w:r w:rsidR="000E6925">
              <w:rPr>
                <w:rFonts w:eastAsiaTheme="minorHAnsi"/>
                <w:szCs w:val="22"/>
              </w:rPr>
              <w:t>n</w:t>
            </w:r>
            <w:r w:rsidR="000E6925" w:rsidRPr="000E6925">
              <w:rPr>
                <w:rFonts w:eastAsiaTheme="minorHAnsi"/>
                <w:szCs w:val="22"/>
              </w:rPr>
              <w:t>o atjaunīgajiem energoresursiem saražotā elektroenerģija 12 kalendāra mēnešos</w:t>
            </w:r>
            <w:r w:rsidR="000E6925">
              <w:rPr>
                <w:rFonts w:eastAsiaTheme="minorHAnsi"/>
                <w:szCs w:val="22"/>
              </w:rPr>
              <w:t xml:space="preserve"> jā</w:t>
            </w:r>
            <w:r w:rsidR="000E6925" w:rsidRPr="000E6925">
              <w:rPr>
                <w:rFonts w:eastAsiaTheme="minorHAnsi"/>
                <w:szCs w:val="22"/>
              </w:rPr>
              <w:t xml:space="preserve">izmanto </w:t>
            </w:r>
            <w:r w:rsidR="000E6925" w:rsidRPr="000E6925">
              <w:rPr>
                <w:rFonts w:eastAsiaTheme="minorHAnsi"/>
                <w:szCs w:val="22"/>
                <w:u w:val="single"/>
              </w:rPr>
              <w:t>pašpatēriņam</w:t>
            </w:r>
            <w:r w:rsidR="000E6925">
              <w:rPr>
                <w:rFonts w:eastAsiaTheme="minorHAnsi"/>
                <w:szCs w:val="22"/>
              </w:rPr>
              <w:t xml:space="preserve">. Ja </w:t>
            </w:r>
            <w:r w:rsidR="000E6925" w:rsidRPr="000E6925">
              <w:rPr>
                <w:rFonts w:eastAsiaTheme="minorHAnsi"/>
                <w:szCs w:val="22"/>
              </w:rPr>
              <w:t>atbalsta sniegšana projektam kvalificējama kā komercdarbības atbalsts</w:t>
            </w:r>
            <w:r w:rsidR="000E6925">
              <w:rPr>
                <w:rFonts w:eastAsiaTheme="minorHAnsi"/>
                <w:szCs w:val="22"/>
              </w:rPr>
              <w:t>, tad nav nosacījumi par pašpatēriņa apjomu.</w:t>
            </w:r>
          </w:p>
        </w:tc>
      </w:tr>
      <w:tr w:rsidR="00C8033A" w:rsidRPr="00C21EAA" w14:paraId="33729573" w14:textId="77777777" w:rsidTr="00B84A4A">
        <w:trPr>
          <w:cantSplit/>
        </w:trPr>
        <w:tc>
          <w:tcPr>
            <w:tcW w:w="644" w:type="dxa"/>
          </w:tcPr>
          <w:p w14:paraId="0A6AA8DB" w14:textId="1FC39528" w:rsidR="00C8033A" w:rsidRPr="00C21EAA" w:rsidRDefault="00183B55" w:rsidP="00AB59BD">
            <w:pPr>
              <w:jc w:val="center"/>
              <w:rPr>
                <w:szCs w:val="22"/>
              </w:rPr>
            </w:pPr>
            <w:bookmarkStart w:id="2" w:name="_Hlk519760455"/>
            <w:bookmarkEnd w:id="0"/>
            <w:r w:rsidRPr="00C21EAA">
              <w:rPr>
                <w:szCs w:val="22"/>
              </w:rPr>
              <w:t>2.</w:t>
            </w:r>
          </w:p>
        </w:tc>
        <w:tc>
          <w:tcPr>
            <w:tcW w:w="4738" w:type="dxa"/>
          </w:tcPr>
          <w:p w14:paraId="38DC9DD2" w14:textId="27FBB901" w:rsidR="00C8033A" w:rsidRPr="00C21EAA" w:rsidRDefault="000E6925" w:rsidP="004C4915">
            <w:pPr>
              <w:autoSpaceDE w:val="0"/>
              <w:autoSpaceDN w:val="0"/>
              <w:jc w:val="both"/>
              <w:rPr>
                <w:szCs w:val="22"/>
              </w:rPr>
            </w:pPr>
            <w:r>
              <w:rPr>
                <w:szCs w:val="22"/>
              </w:rPr>
              <w:t>V</w:t>
            </w:r>
            <w:r w:rsidRPr="000E6925">
              <w:rPr>
                <w:szCs w:val="22"/>
              </w:rPr>
              <w:t>ai nepieciešams iesniegt elektroenerģijas sadales sistēmas operatora izsniegtās atļaujas kopiju un kurā posmā šis dokuments jāiesniedz? Šo dokumentu izsniedz tikai pie projekta pabeigšanas, vai to var iesniegt noslēdzot projektu?</w:t>
            </w:r>
          </w:p>
        </w:tc>
        <w:tc>
          <w:tcPr>
            <w:tcW w:w="9178" w:type="dxa"/>
          </w:tcPr>
          <w:p w14:paraId="029F46FA" w14:textId="064CFF4A" w:rsidR="00C8033A" w:rsidRPr="00C21EAA" w:rsidRDefault="000E6925" w:rsidP="0009237A">
            <w:pPr>
              <w:jc w:val="both"/>
              <w:rPr>
                <w:szCs w:val="22"/>
              </w:rPr>
            </w:pPr>
            <w:r>
              <w:rPr>
                <w:szCs w:val="22"/>
              </w:rPr>
              <w:t xml:space="preserve">Nepieciešams iesniegt, </w:t>
            </w:r>
            <w:r w:rsidRPr="000E6925">
              <w:rPr>
                <w:szCs w:val="22"/>
              </w:rPr>
              <w:t>ja iepriekš jau ir saņemta elektroenerģijas sadales sistēmas operatora izsniegta atļauja par elektroenerģijas ražošanas iekārtas pieslēgšanu sistēmai</w:t>
            </w:r>
            <w:r>
              <w:rPr>
                <w:szCs w:val="22"/>
              </w:rPr>
              <w:t xml:space="preserve"> un netiek plānots to mainīt</w:t>
            </w:r>
            <w:r w:rsidR="00F5344F">
              <w:rPr>
                <w:szCs w:val="22"/>
              </w:rPr>
              <w:t>.</w:t>
            </w:r>
            <w:r>
              <w:rPr>
                <w:szCs w:val="22"/>
              </w:rPr>
              <w:t xml:space="preserve"> E</w:t>
            </w:r>
            <w:r w:rsidRPr="000E6925">
              <w:rPr>
                <w:szCs w:val="22"/>
              </w:rPr>
              <w:t>lektroenerģijas sadales sistēmas operatora izsnieg</w:t>
            </w:r>
            <w:r>
              <w:rPr>
                <w:szCs w:val="22"/>
              </w:rPr>
              <w:t>to</w:t>
            </w:r>
            <w:r w:rsidRPr="000E6925">
              <w:rPr>
                <w:szCs w:val="22"/>
              </w:rPr>
              <w:t xml:space="preserve"> atļauj</w:t>
            </w:r>
            <w:r>
              <w:rPr>
                <w:szCs w:val="22"/>
              </w:rPr>
              <w:t>u citos gadījumos iesniedz pēc projekta pabeigšanas kopā ar projekta īstenošanas noslēguma pārskatu.</w:t>
            </w:r>
          </w:p>
        </w:tc>
      </w:tr>
      <w:tr w:rsidR="00EC403C" w:rsidRPr="00C21EAA" w14:paraId="10BFFBD4" w14:textId="77777777" w:rsidTr="00B84A4A">
        <w:trPr>
          <w:cantSplit/>
        </w:trPr>
        <w:tc>
          <w:tcPr>
            <w:tcW w:w="644" w:type="dxa"/>
          </w:tcPr>
          <w:p w14:paraId="52A5C02C" w14:textId="1D1AE4D1" w:rsidR="00EC403C" w:rsidRPr="00C21EAA" w:rsidRDefault="00D87AAB" w:rsidP="00AB59BD">
            <w:pPr>
              <w:jc w:val="center"/>
              <w:rPr>
                <w:szCs w:val="22"/>
              </w:rPr>
            </w:pPr>
            <w:bookmarkStart w:id="3" w:name="_Hlk175575244"/>
            <w:bookmarkStart w:id="4" w:name="_Hlk183432893"/>
            <w:bookmarkEnd w:id="1"/>
            <w:bookmarkEnd w:id="2"/>
            <w:r w:rsidRPr="00C21EAA">
              <w:rPr>
                <w:szCs w:val="22"/>
              </w:rPr>
              <w:t>3.</w:t>
            </w:r>
          </w:p>
        </w:tc>
        <w:tc>
          <w:tcPr>
            <w:tcW w:w="4738" w:type="dxa"/>
          </w:tcPr>
          <w:p w14:paraId="3BCA392B" w14:textId="54F18C9B" w:rsidR="00EC403C" w:rsidRPr="00C21EAA" w:rsidRDefault="000E6925" w:rsidP="00D87AAB">
            <w:pPr>
              <w:autoSpaceDE w:val="0"/>
              <w:autoSpaceDN w:val="0"/>
              <w:jc w:val="both"/>
              <w:rPr>
                <w:szCs w:val="22"/>
              </w:rPr>
            </w:pPr>
            <w:r w:rsidRPr="000E6925">
              <w:rPr>
                <w:szCs w:val="22"/>
              </w:rPr>
              <w:t>MK noteikumu Nr. 7</w:t>
            </w:r>
            <w:r w:rsidR="00CD0088">
              <w:rPr>
                <w:szCs w:val="22"/>
              </w:rPr>
              <w:t>4</w:t>
            </w:r>
            <w:r w:rsidRPr="00660DF4">
              <w:rPr>
                <w:b/>
                <w:bCs/>
                <w:szCs w:val="22"/>
              </w:rPr>
              <w:t xml:space="preserve"> </w:t>
            </w:r>
            <w:r w:rsidRPr="000E6925">
              <w:rPr>
                <w:szCs w:val="22"/>
              </w:rPr>
              <w:t>7.8.</w:t>
            </w:r>
            <w:r>
              <w:rPr>
                <w:szCs w:val="22"/>
              </w:rPr>
              <w:t> </w:t>
            </w:r>
            <w:r w:rsidRPr="000E6925">
              <w:rPr>
                <w:szCs w:val="22"/>
              </w:rPr>
              <w:t xml:space="preserve">punkts nosaka, ka īstenošanas rezultātā saražotā elektroenerģija ir pieejama sabiedrības lietošanai bez atlīdzības, ja militāra iebrukuma vai kara gadījumā ir radušies ārējās elektroapgādes traucējumi </w:t>
            </w:r>
            <w:r w:rsidR="00787FBD">
              <w:rPr>
                <w:szCs w:val="22"/>
              </w:rPr>
              <w:t xml:space="preserve">– </w:t>
            </w:r>
            <w:r w:rsidRPr="000E6925">
              <w:rPr>
                <w:szCs w:val="22"/>
              </w:rPr>
              <w:t>vai attiecībā uz šo ir noteiktas kādas papildu prasības, kas būtu jāparedz jau projektēšanas brīdī?</w:t>
            </w:r>
          </w:p>
        </w:tc>
        <w:tc>
          <w:tcPr>
            <w:tcW w:w="9178" w:type="dxa"/>
          </w:tcPr>
          <w:p w14:paraId="57FFF0A6" w14:textId="4B9EB9AF" w:rsidR="00EC403C" w:rsidRPr="00C21EAA" w:rsidRDefault="00016CF5" w:rsidP="00910B77">
            <w:pPr>
              <w:jc w:val="both"/>
              <w:rPr>
                <w:szCs w:val="22"/>
              </w:rPr>
            </w:pPr>
            <w:r>
              <w:rPr>
                <w:rFonts w:eastAsiaTheme="minorHAnsi"/>
                <w:szCs w:val="22"/>
              </w:rPr>
              <w:t xml:space="preserve">Lai izpildītu </w:t>
            </w:r>
            <w:r w:rsidRPr="000E6925">
              <w:rPr>
                <w:szCs w:val="22"/>
              </w:rPr>
              <w:t>MK noteikumu Nr. 7</w:t>
            </w:r>
            <w:r w:rsidR="00CD0088">
              <w:rPr>
                <w:szCs w:val="22"/>
              </w:rPr>
              <w:t>4</w:t>
            </w:r>
            <w:r w:rsidRPr="00660DF4">
              <w:rPr>
                <w:b/>
                <w:bCs/>
                <w:szCs w:val="22"/>
              </w:rPr>
              <w:t xml:space="preserve"> </w:t>
            </w:r>
            <w:r w:rsidRPr="000E6925">
              <w:rPr>
                <w:szCs w:val="22"/>
              </w:rPr>
              <w:t>7.8.</w:t>
            </w:r>
            <w:r>
              <w:rPr>
                <w:szCs w:val="22"/>
              </w:rPr>
              <w:t> </w:t>
            </w:r>
            <w:r w:rsidRPr="000E6925">
              <w:rPr>
                <w:szCs w:val="22"/>
              </w:rPr>
              <w:t>punkt</w:t>
            </w:r>
            <w:r>
              <w:rPr>
                <w:szCs w:val="22"/>
              </w:rPr>
              <w:t>a</w:t>
            </w:r>
            <w:r w:rsidR="00787FBD">
              <w:rPr>
                <w:rFonts w:eastAsiaTheme="minorHAnsi"/>
                <w:szCs w:val="22"/>
              </w:rPr>
              <w:t xml:space="preserve"> prasības</w:t>
            </w:r>
            <w:r>
              <w:rPr>
                <w:rFonts w:eastAsiaTheme="minorHAnsi"/>
                <w:szCs w:val="22"/>
              </w:rPr>
              <w:t xml:space="preserve">, </w:t>
            </w:r>
            <w:r w:rsidRPr="00016CF5">
              <w:rPr>
                <w:rFonts w:eastAsiaTheme="minorHAnsi"/>
                <w:b/>
                <w:bCs/>
                <w:szCs w:val="22"/>
              </w:rPr>
              <w:t>saules elektrostacija jāizbūvē lai</w:t>
            </w:r>
            <w:r>
              <w:rPr>
                <w:rFonts w:eastAsiaTheme="minorHAnsi"/>
                <w:szCs w:val="22"/>
              </w:rPr>
              <w:t xml:space="preserve"> tā l</w:t>
            </w:r>
            <w:r w:rsidRPr="00016CF5">
              <w:rPr>
                <w:rFonts w:eastAsiaTheme="minorHAnsi"/>
                <w:szCs w:val="22"/>
              </w:rPr>
              <w:t xml:space="preserve">ai </w:t>
            </w:r>
            <w:r w:rsidRPr="00016CF5">
              <w:rPr>
                <w:rFonts w:eastAsiaTheme="minorHAnsi"/>
                <w:b/>
                <w:bCs/>
                <w:szCs w:val="22"/>
              </w:rPr>
              <w:t>nodrošinātu elektroenerģiju lokāli</w:t>
            </w:r>
            <w:r w:rsidRPr="00016CF5">
              <w:rPr>
                <w:rFonts w:eastAsiaTheme="minorHAnsi"/>
                <w:szCs w:val="22"/>
              </w:rPr>
              <w:t>, kad ārējais tīkls ir bojāts</w:t>
            </w:r>
            <w:r>
              <w:rPr>
                <w:rFonts w:eastAsiaTheme="minorHAnsi"/>
                <w:szCs w:val="22"/>
              </w:rPr>
              <w:t xml:space="preserve"> un lai </w:t>
            </w:r>
            <w:r w:rsidRPr="00016CF5">
              <w:rPr>
                <w:rFonts w:eastAsiaTheme="minorHAnsi"/>
                <w:szCs w:val="22"/>
              </w:rPr>
              <w:t>var darboties neatkarīgi no lielajām pārvades līnijām</w:t>
            </w:r>
            <w:r>
              <w:rPr>
                <w:rFonts w:eastAsiaTheme="minorHAnsi"/>
                <w:szCs w:val="22"/>
              </w:rPr>
              <w:t xml:space="preserve"> (strādātu “salas režīmā”)</w:t>
            </w:r>
            <w:r w:rsidR="00660DF4">
              <w:rPr>
                <w:rFonts w:eastAsiaTheme="minorHAnsi"/>
                <w:szCs w:val="22"/>
              </w:rPr>
              <w:t>.</w:t>
            </w:r>
          </w:p>
        </w:tc>
      </w:tr>
      <w:tr w:rsidR="004F3807" w:rsidRPr="00C21EAA" w14:paraId="1603F951" w14:textId="77777777" w:rsidTr="00B84A4A">
        <w:trPr>
          <w:cantSplit/>
        </w:trPr>
        <w:tc>
          <w:tcPr>
            <w:tcW w:w="644" w:type="dxa"/>
          </w:tcPr>
          <w:p w14:paraId="4ED60376" w14:textId="2809879D" w:rsidR="004F3807" w:rsidRDefault="00A47D51" w:rsidP="00F9772C">
            <w:pPr>
              <w:jc w:val="center"/>
            </w:pPr>
            <w:bookmarkStart w:id="5" w:name="_Hlk175669141"/>
            <w:bookmarkStart w:id="6" w:name="_Hlk184034766"/>
            <w:bookmarkStart w:id="7" w:name="_Hlk186812210"/>
            <w:bookmarkStart w:id="8" w:name="_Hlk187681242"/>
            <w:bookmarkEnd w:id="3"/>
            <w:bookmarkEnd w:id="4"/>
            <w:r>
              <w:lastRenderedPageBreak/>
              <w:t>4.</w:t>
            </w:r>
          </w:p>
        </w:tc>
        <w:tc>
          <w:tcPr>
            <w:tcW w:w="4738" w:type="dxa"/>
          </w:tcPr>
          <w:p w14:paraId="034FB6CA" w14:textId="72C7F011" w:rsidR="004F3807" w:rsidRDefault="00A47D51" w:rsidP="004F3807">
            <w:pPr>
              <w:autoSpaceDE w:val="0"/>
              <w:autoSpaceDN w:val="0"/>
              <w:jc w:val="both"/>
            </w:pPr>
            <w:r w:rsidRPr="00A47D51">
              <w:t xml:space="preserve">Ja projekta iesniedzējs ir pašvaldība, vai ir jāiesniedz </w:t>
            </w:r>
            <w:r w:rsidRPr="00A47D51">
              <w:rPr>
                <w:i/>
                <w:iCs/>
              </w:rPr>
              <w:t>de minimis</w:t>
            </w:r>
            <w:r w:rsidRPr="00A47D51">
              <w:t xml:space="preserve"> uzskaites veidlapa</w:t>
            </w:r>
            <w:r>
              <w:t>?</w:t>
            </w:r>
          </w:p>
        </w:tc>
        <w:tc>
          <w:tcPr>
            <w:tcW w:w="9178" w:type="dxa"/>
          </w:tcPr>
          <w:p w14:paraId="24240C98" w14:textId="23524C61" w:rsidR="004F3807" w:rsidRDefault="00A47D51">
            <w:pPr>
              <w:autoSpaceDE w:val="0"/>
              <w:autoSpaceDN w:val="0"/>
              <w:jc w:val="both"/>
            </w:pPr>
            <w:r>
              <w:t xml:space="preserve">Pašvaldībai konkursā </w:t>
            </w:r>
            <w:r w:rsidRPr="00A47D51">
              <w:rPr>
                <w:b/>
                <w:bCs/>
              </w:rPr>
              <w:t xml:space="preserve">nav jāiesniedz </w:t>
            </w:r>
            <w:r w:rsidRPr="00A47D51">
              <w:rPr>
                <w:b/>
                <w:bCs/>
                <w:i/>
                <w:iCs/>
              </w:rPr>
              <w:t>de minimis</w:t>
            </w:r>
            <w:r w:rsidRPr="00A47D51">
              <w:rPr>
                <w:b/>
                <w:bCs/>
              </w:rPr>
              <w:t xml:space="preserve"> veidlapa</w:t>
            </w:r>
            <w:r>
              <w:t>, jo nav paredzēts, ka var veikt saimniecisko darbību.</w:t>
            </w:r>
          </w:p>
        </w:tc>
      </w:tr>
      <w:tr w:rsidR="00A47D51" w:rsidRPr="00C21EAA" w14:paraId="728AE3C2" w14:textId="77777777" w:rsidTr="00B84A4A">
        <w:trPr>
          <w:cantSplit/>
        </w:trPr>
        <w:tc>
          <w:tcPr>
            <w:tcW w:w="644" w:type="dxa"/>
          </w:tcPr>
          <w:p w14:paraId="306E955A" w14:textId="0C8DF7AB" w:rsidR="00A47D51" w:rsidRDefault="00A47D51" w:rsidP="00F9772C">
            <w:pPr>
              <w:jc w:val="center"/>
            </w:pPr>
            <w:r>
              <w:t>5.</w:t>
            </w:r>
          </w:p>
        </w:tc>
        <w:tc>
          <w:tcPr>
            <w:tcW w:w="4738" w:type="dxa"/>
          </w:tcPr>
          <w:p w14:paraId="1D6468ED" w14:textId="3DF775C3" w:rsidR="00A47D51" w:rsidRPr="00A47D51" w:rsidRDefault="00A47D51" w:rsidP="004F3807">
            <w:pPr>
              <w:autoSpaceDE w:val="0"/>
              <w:autoSpaceDN w:val="0"/>
              <w:jc w:val="both"/>
            </w:pPr>
            <w:r w:rsidRPr="00A47D51">
              <w:t>Vai īstenojot aktivitāti “saules elektrostacija ar akumulatoru uzstādīšana” ir jāiesniedz elektroenerģijas patēriņa dati par ēku?</w:t>
            </w:r>
          </w:p>
        </w:tc>
        <w:tc>
          <w:tcPr>
            <w:tcW w:w="9178" w:type="dxa"/>
          </w:tcPr>
          <w:p w14:paraId="301A0DA9" w14:textId="5A581A9E" w:rsidR="00A47D51" w:rsidRDefault="00A47D51">
            <w:pPr>
              <w:autoSpaceDE w:val="0"/>
              <w:autoSpaceDN w:val="0"/>
              <w:jc w:val="both"/>
            </w:pPr>
            <w:r>
              <w:t>E</w:t>
            </w:r>
            <w:r w:rsidRPr="00A47D51">
              <w:t>lektroenerģijas patēriņa dati par ēku</w:t>
            </w:r>
            <w:r>
              <w:t xml:space="preserve"> </w:t>
            </w:r>
            <w:r w:rsidRPr="00A47D51">
              <w:rPr>
                <w:b/>
                <w:bCs/>
              </w:rPr>
              <w:t>nav jāiesniedz</w:t>
            </w:r>
            <w:r>
              <w:t>, bet ja projekta iesniedzējs nav energokopiena, tad ir jāiesniedz ēkas energosertifikāts, kas reģistrēts BIS un</w:t>
            </w:r>
            <w:r w:rsidRPr="00A47D51">
              <w:t xml:space="preserve"> kuras apkures patēriņa references līmenis atbilst energoefektivitātes klasei, kas nav zemāka par "D" klasi saskaņā ar ēku energoefektivitātes aprēķina metodes un ēku energosertifikācijas noteikumiem</w:t>
            </w:r>
            <w:r>
              <w:t>.</w:t>
            </w:r>
          </w:p>
        </w:tc>
      </w:tr>
      <w:tr w:rsidR="00CD0088" w:rsidRPr="00C21EAA" w14:paraId="6C5543B6" w14:textId="77777777" w:rsidTr="00B84A4A">
        <w:trPr>
          <w:cantSplit/>
        </w:trPr>
        <w:tc>
          <w:tcPr>
            <w:tcW w:w="644" w:type="dxa"/>
          </w:tcPr>
          <w:p w14:paraId="7F07AF27" w14:textId="6E5C8901" w:rsidR="00CD0088" w:rsidRDefault="00CD0088" w:rsidP="00F9772C">
            <w:pPr>
              <w:jc w:val="center"/>
            </w:pPr>
            <w:r>
              <w:t>6.</w:t>
            </w:r>
          </w:p>
        </w:tc>
        <w:tc>
          <w:tcPr>
            <w:tcW w:w="4738" w:type="dxa"/>
          </w:tcPr>
          <w:p w14:paraId="64D771F6" w14:textId="580F63CE" w:rsidR="00CD0088" w:rsidRPr="00A47D51" w:rsidRDefault="00CD0088" w:rsidP="004F3807">
            <w:pPr>
              <w:autoSpaceDE w:val="0"/>
              <w:autoSpaceDN w:val="0"/>
              <w:jc w:val="both"/>
            </w:pPr>
            <w:r w:rsidRPr="00CD0088">
              <w:t>Projekta iesniedzējs ir pašvaldība, kura plāno projekta aktivitātes veikt izglītības iestādē. Projekta ēkā uzņēmums nodrošina ēdināšanas pakalpojumu darbiniekiem un skolēniem (parastie papildpakalpojumi, kas tiek izmantoti nesaimnieciskai darbībai), kā arī skolā ir telpas, kuras tiek iznomātas sporta pulciņam (papildinošā saimnieciskā darbība). Vai, iesniedzot projekta iesniegumu, ir jāsniedz aprēķins vai cita informācija par minētiem pakalpojumiem atbilstoši MK noteikumu Nr.74 Anotācijas 1.3.punktā noteikto? Vai arī tās apmērs tiks uzraudzīts monitoringa periodā pēc projekta īstenošanas?</w:t>
            </w:r>
          </w:p>
        </w:tc>
        <w:tc>
          <w:tcPr>
            <w:tcW w:w="9178" w:type="dxa"/>
          </w:tcPr>
          <w:p w14:paraId="739E819E" w14:textId="77777777" w:rsidR="00CD0088" w:rsidRDefault="00CD0088">
            <w:pPr>
              <w:autoSpaceDE w:val="0"/>
              <w:autoSpaceDN w:val="0"/>
              <w:jc w:val="both"/>
            </w:pPr>
            <w:r w:rsidRPr="00CD0088">
              <w:t xml:space="preserve">MK noteikumu Nr. 74 </w:t>
            </w:r>
            <w:r>
              <w:t>9</w:t>
            </w:r>
            <w:r w:rsidRPr="00CD0088">
              <w:t>. punk</w:t>
            </w:r>
            <w:r>
              <w:t xml:space="preserve">ts nosaka, ka </w:t>
            </w:r>
            <w:r w:rsidRPr="00CD0088">
              <w:rPr>
                <w:b/>
                <w:bCs/>
              </w:rPr>
              <w:t>ir pieļaujama papildinoša saimnieciskā darbība līdz 20 % apmērā no infrastruktūras gada jaudas</w:t>
            </w:r>
            <w:r w:rsidRPr="00CD0088">
              <w:t xml:space="preserve"> (platības, laika vai finanšu izteiksmē) un papildpakalpojumu sniegšana. Ar papildinošu saimniecisko darbību saprot darbības, kas ir tieši saistītas ar infrastruktūras ekspluatāciju un tai nepieciešamas vai nesaraujami saistītas ar infrastruktūras galveno ar saimniecisko darbību nesaistīto izmantojumu, patērējot tādu pašu resursu (piemēram, materiāli, aprīkojums, darbaspēks, pamatkapitāls) apjomu kā ar saimniecisko darbību nesaistītajām darbībām</w:t>
            </w:r>
            <w:r>
              <w:t>.</w:t>
            </w:r>
          </w:p>
          <w:p w14:paraId="1A3001E1" w14:textId="77777777" w:rsidR="00CD0088" w:rsidRDefault="00CD0088">
            <w:pPr>
              <w:autoSpaceDE w:val="0"/>
              <w:autoSpaceDN w:val="0"/>
              <w:jc w:val="both"/>
            </w:pPr>
            <w:r>
              <w:t xml:space="preserve">Projekta iesniedzējam, kas iesniedz projektu, kur netiek plānota papildinošā saimnieciskā darbība, papildus nekādi apliecinājumi nav jāiesniedz. </w:t>
            </w:r>
          </w:p>
          <w:p w14:paraId="210A9795" w14:textId="77777777" w:rsidR="00CD0088" w:rsidRDefault="00CD0088">
            <w:pPr>
              <w:autoSpaceDE w:val="0"/>
              <w:autoSpaceDN w:val="0"/>
              <w:jc w:val="both"/>
            </w:pPr>
          </w:p>
          <w:p w14:paraId="383BE1E1" w14:textId="6D4647EF" w:rsidR="00CD0088" w:rsidRDefault="00CD0088">
            <w:pPr>
              <w:autoSpaceDE w:val="0"/>
              <w:autoSpaceDN w:val="0"/>
              <w:jc w:val="both"/>
            </w:pPr>
            <w:r>
              <w:t xml:space="preserve">Ja uz projekta iesnieguma brīdi tiek veikta papildinošā saimnieciskā darbība, tad kopā ar projekta iesniegumu ir jāiesniedz papildinošās darbības novērtējums </w:t>
            </w:r>
            <w:r w:rsidRPr="00CD0088">
              <w:t>platības, laika vai finanšu izteiksmē</w:t>
            </w:r>
            <w:r>
              <w:t xml:space="preserve">. </w:t>
            </w:r>
            <w:r w:rsidRPr="00CD0088">
              <w:rPr>
                <w:b/>
                <w:bCs/>
              </w:rPr>
              <w:t>Norādām, ka papildinošas saimnieciskās darbības aprēķina veidu projekta īstenošanas laikā nemaina un aprēķinu veic atbilstoši sākotnēji izvēlētajam veidam platības, laika vai finanšu izteiksmē.</w:t>
            </w:r>
          </w:p>
        </w:tc>
      </w:tr>
      <w:tr w:rsidR="003D48AB" w:rsidRPr="00C21EAA" w14:paraId="419FCD0F" w14:textId="77777777" w:rsidTr="00B84A4A">
        <w:trPr>
          <w:cantSplit/>
        </w:trPr>
        <w:tc>
          <w:tcPr>
            <w:tcW w:w="644" w:type="dxa"/>
          </w:tcPr>
          <w:p w14:paraId="021EB82A" w14:textId="2300BCB3" w:rsidR="003D48AB" w:rsidRDefault="003D48AB" w:rsidP="00F9772C">
            <w:pPr>
              <w:jc w:val="center"/>
            </w:pPr>
            <w:r>
              <w:t>7.</w:t>
            </w:r>
          </w:p>
        </w:tc>
        <w:tc>
          <w:tcPr>
            <w:tcW w:w="4738" w:type="dxa"/>
          </w:tcPr>
          <w:p w14:paraId="6F8BD455" w14:textId="2821E6E4" w:rsidR="003D48AB" w:rsidRPr="00CD0088" w:rsidRDefault="003D48AB" w:rsidP="004F3807">
            <w:pPr>
              <w:autoSpaceDE w:val="0"/>
              <w:autoSpaceDN w:val="0"/>
              <w:jc w:val="both"/>
            </w:pPr>
            <w:r w:rsidRPr="003D48AB">
              <w:t>Projekta iesniedzējs ir pašvaldība. Pašvaldība plāno uzstādīt saules elektrostacijas vairākās izglītības iestādēs, kuras atbilst konkursā noteiktai energoefektivitātes klasei. Vai ir pieļaujams viena projekta ietvaros iekļaut vairākas ēkas, kurām katrai tiks uzstādīta sava saules elektrostacija? Ja tas ir pieļaujams, vai šī projekta ar piecām ēkām maksimālā atbalsta summa ir 100 000 EUR? Vai plānotais CO</w:t>
            </w:r>
            <w:r w:rsidRPr="003D48AB">
              <w:rPr>
                <w:vertAlign w:val="subscript"/>
              </w:rPr>
              <w:t>2</w:t>
            </w:r>
            <w:r w:rsidRPr="003D48AB">
              <w:t xml:space="preserve"> samazinājums tiks vērtēts kā kopsumma no visu piecu ēku rezultātiem viena projekta ietvaros?</w:t>
            </w:r>
          </w:p>
        </w:tc>
        <w:tc>
          <w:tcPr>
            <w:tcW w:w="9178" w:type="dxa"/>
          </w:tcPr>
          <w:p w14:paraId="5526EB76" w14:textId="77777777" w:rsidR="003D48AB" w:rsidRDefault="003D48AB">
            <w:pPr>
              <w:autoSpaceDE w:val="0"/>
              <w:autoSpaceDN w:val="0"/>
              <w:jc w:val="both"/>
            </w:pPr>
            <w:r>
              <w:t xml:space="preserve">Jā – </w:t>
            </w:r>
            <w:r w:rsidRPr="003D48AB">
              <w:rPr>
                <w:b/>
                <w:bCs/>
              </w:rPr>
              <w:t>ir pieļaujams viena projekta ietvaros iekļaut vairākas ēkas, kurām katrai tiks uzstādīta sava saules elektrostacija</w:t>
            </w:r>
            <w:r>
              <w:t>.</w:t>
            </w:r>
          </w:p>
          <w:p w14:paraId="1D74F468" w14:textId="77777777" w:rsidR="003D48AB" w:rsidRDefault="003D48AB">
            <w:pPr>
              <w:autoSpaceDE w:val="0"/>
              <w:autoSpaceDN w:val="0"/>
              <w:jc w:val="both"/>
            </w:pPr>
            <w:r>
              <w:t xml:space="preserve">Maksimālā atbalsta summa projekta iesniedzējiem, kas ir pašvaldības, </w:t>
            </w:r>
            <w:r w:rsidRPr="003D48AB">
              <w:rPr>
                <w:b/>
                <w:bCs/>
              </w:rPr>
              <w:t xml:space="preserve">vienā projektā ir 100 000 </w:t>
            </w:r>
            <w:r w:rsidRPr="003D48AB">
              <w:rPr>
                <w:b/>
                <w:bCs/>
                <w:i/>
                <w:iCs/>
              </w:rPr>
              <w:t>euro</w:t>
            </w:r>
            <w:r>
              <w:t>.</w:t>
            </w:r>
          </w:p>
          <w:p w14:paraId="625DC01C" w14:textId="5B688B64" w:rsidR="003D48AB" w:rsidRPr="00CD0088" w:rsidRDefault="003D48AB">
            <w:pPr>
              <w:autoSpaceDE w:val="0"/>
              <w:autoSpaceDN w:val="0"/>
              <w:jc w:val="both"/>
            </w:pPr>
            <w:r>
              <w:t>Pl</w:t>
            </w:r>
            <w:r w:rsidRPr="003D48AB">
              <w:t>ānot</w:t>
            </w:r>
            <w:r>
              <w:t>o</w:t>
            </w:r>
            <w:r w:rsidRPr="003D48AB">
              <w:t xml:space="preserve"> CO</w:t>
            </w:r>
            <w:r w:rsidRPr="003D48AB">
              <w:rPr>
                <w:vertAlign w:val="subscript"/>
              </w:rPr>
              <w:t>2</w:t>
            </w:r>
            <w:r w:rsidRPr="003D48AB">
              <w:t xml:space="preserve"> samazinājum</w:t>
            </w:r>
            <w:r>
              <w:t xml:space="preserve">u </w:t>
            </w:r>
            <w:r w:rsidRPr="003D48AB">
              <w:rPr>
                <w:b/>
                <w:bCs/>
              </w:rPr>
              <w:t>rēķina par projektu kopumā</w:t>
            </w:r>
            <w:r>
              <w:t xml:space="preserve">, summējot katrā ēkā </w:t>
            </w:r>
            <w:r w:rsidRPr="003D48AB">
              <w:t>plānot</w:t>
            </w:r>
            <w:r>
              <w:t>o</w:t>
            </w:r>
            <w:r w:rsidRPr="003D48AB">
              <w:t xml:space="preserve"> CO</w:t>
            </w:r>
            <w:r w:rsidRPr="003D48AB">
              <w:rPr>
                <w:vertAlign w:val="subscript"/>
              </w:rPr>
              <w:t>2</w:t>
            </w:r>
            <w:r w:rsidRPr="003D48AB">
              <w:t xml:space="preserve"> samazinājum</w:t>
            </w:r>
            <w:r>
              <w:t>u.</w:t>
            </w:r>
          </w:p>
        </w:tc>
      </w:tr>
      <w:tr w:rsidR="003D48AB" w:rsidRPr="00C21EAA" w14:paraId="63DD60CD" w14:textId="77777777" w:rsidTr="00B84A4A">
        <w:trPr>
          <w:cantSplit/>
        </w:trPr>
        <w:tc>
          <w:tcPr>
            <w:tcW w:w="644" w:type="dxa"/>
          </w:tcPr>
          <w:p w14:paraId="35FD62D6" w14:textId="6CBB33E4" w:rsidR="003D48AB" w:rsidRDefault="003D48AB" w:rsidP="00F9772C">
            <w:pPr>
              <w:jc w:val="center"/>
            </w:pPr>
            <w:r>
              <w:t>8.</w:t>
            </w:r>
          </w:p>
        </w:tc>
        <w:tc>
          <w:tcPr>
            <w:tcW w:w="4738" w:type="dxa"/>
          </w:tcPr>
          <w:p w14:paraId="54C57060" w14:textId="508123AB" w:rsidR="003D48AB" w:rsidRPr="00CD0088" w:rsidRDefault="003D48AB" w:rsidP="004F3807">
            <w:pPr>
              <w:autoSpaceDE w:val="0"/>
              <w:autoSpaceDN w:val="0"/>
              <w:jc w:val="both"/>
            </w:pPr>
            <w:r w:rsidRPr="003D48AB">
              <w:t>Pašvaldības vienai ēkai ir vairāki AS “Sadales tīkls” mērījuma punkti. Vai viena projekta ietvaros var šai vienai ēkai likt vairākas elektrostacijas (rezultātā divas AS tīkls atļaujas) un to sasniedzamos rezultātus summēt?</w:t>
            </w:r>
          </w:p>
        </w:tc>
        <w:tc>
          <w:tcPr>
            <w:tcW w:w="9178" w:type="dxa"/>
          </w:tcPr>
          <w:p w14:paraId="3574FB67" w14:textId="37B44D77" w:rsidR="003D48AB" w:rsidRPr="00CD0088" w:rsidRDefault="003D48AB">
            <w:pPr>
              <w:autoSpaceDE w:val="0"/>
              <w:autoSpaceDN w:val="0"/>
              <w:jc w:val="both"/>
            </w:pPr>
            <w:r>
              <w:t xml:space="preserve">Jā – </w:t>
            </w:r>
            <w:r w:rsidRPr="003D48AB">
              <w:rPr>
                <w:b/>
                <w:bCs/>
              </w:rPr>
              <w:t>ir pieļaujams</w:t>
            </w:r>
            <w:r>
              <w:t xml:space="preserve"> viena projekta ietvaros likt vairākas saules elektrostacijas. Pl</w:t>
            </w:r>
            <w:r w:rsidRPr="003D48AB">
              <w:t>ānot</w:t>
            </w:r>
            <w:r>
              <w:t>o</w:t>
            </w:r>
            <w:r w:rsidRPr="003D48AB">
              <w:t xml:space="preserve"> CO</w:t>
            </w:r>
            <w:r w:rsidRPr="003D48AB">
              <w:rPr>
                <w:vertAlign w:val="subscript"/>
              </w:rPr>
              <w:t>2</w:t>
            </w:r>
            <w:r w:rsidRPr="003D48AB">
              <w:t xml:space="preserve"> samazinājum</w:t>
            </w:r>
            <w:r>
              <w:t xml:space="preserve">u </w:t>
            </w:r>
            <w:r w:rsidRPr="003D48AB">
              <w:rPr>
                <w:b/>
                <w:bCs/>
              </w:rPr>
              <w:t>rēķina par projektu kopumā</w:t>
            </w:r>
            <w:r>
              <w:t xml:space="preserve">, summējot katrā ēkā un katrā saules elektrostacijā </w:t>
            </w:r>
            <w:r w:rsidRPr="003D48AB">
              <w:t>plānot</w:t>
            </w:r>
            <w:r>
              <w:t>o</w:t>
            </w:r>
            <w:r w:rsidRPr="003D48AB">
              <w:t xml:space="preserve"> CO</w:t>
            </w:r>
            <w:r w:rsidRPr="003D48AB">
              <w:rPr>
                <w:vertAlign w:val="subscript"/>
              </w:rPr>
              <w:t>2</w:t>
            </w:r>
            <w:r w:rsidRPr="003D48AB">
              <w:t xml:space="preserve"> samazinājum</w:t>
            </w:r>
            <w:r>
              <w:t>u.</w:t>
            </w:r>
          </w:p>
        </w:tc>
      </w:tr>
      <w:tr w:rsidR="00A35DF2" w:rsidRPr="00C21EAA" w14:paraId="6A97301D" w14:textId="77777777" w:rsidTr="00B84A4A">
        <w:trPr>
          <w:cantSplit/>
        </w:trPr>
        <w:tc>
          <w:tcPr>
            <w:tcW w:w="644" w:type="dxa"/>
          </w:tcPr>
          <w:p w14:paraId="51C6871B" w14:textId="217FD9C9" w:rsidR="00A35DF2" w:rsidRDefault="00A35DF2" w:rsidP="00F9772C">
            <w:pPr>
              <w:jc w:val="center"/>
            </w:pPr>
            <w:r>
              <w:lastRenderedPageBreak/>
              <w:t>9.</w:t>
            </w:r>
          </w:p>
        </w:tc>
        <w:tc>
          <w:tcPr>
            <w:tcW w:w="4738" w:type="dxa"/>
          </w:tcPr>
          <w:p w14:paraId="4839F166" w14:textId="2F35C847" w:rsidR="00A35DF2" w:rsidRPr="003D48AB" w:rsidRDefault="00A35DF2" w:rsidP="004F3807">
            <w:pPr>
              <w:autoSpaceDE w:val="0"/>
              <w:autoSpaceDN w:val="0"/>
              <w:jc w:val="both"/>
            </w:pPr>
            <w:r w:rsidRPr="00A35DF2">
              <w:t xml:space="preserve">Vai energokopiena savā īpašumā drīkst iegādāties individuālos gaiss-gaiss </w:t>
            </w:r>
            <w:proofErr w:type="spellStart"/>
            <w:r w:rsidRPr="00A35DF2">
              <w:t>siltumsūkņus</w:t>
            </w:r>
            <w:proofErr w:type="spellEnd"/>
            <w:r w:rsidRPr="00A35DF2">
              <w:t xml:space="preserve"> uzstādīšanai biedru dzīvokļos</w:t>
            </w:r>
            <w:r>
              <w:t>?</w:t>
            </w:r>
          </w:p>
        </w:tc>
        <w:tc>
          <w:tcPr>
            <w:tcW w:w="9178" w:type="dxa"/>
          </w:tcPr>
          <w:p w14:paraId="71EEA0AE" w14:textId="40D5D1A5" w:rsidR="00A35DF2" w:rsidRDefault="00594182">
            <w:pPr>
              <w:autoSpaceDE w:val="0"/>
              <w:autoSpaceDN w:val="0"/>
              <w:jc w:val="both"/>
            </w:pPr>
            <w:r>
              <w:t xml:space="preserve">Individuāli siltumapgādes risinājumi neatbilst </w:t>
            </w:r>
            <w:proofErr w:type="spellStart"/>
            <w:r>
              <w:t>energkopienas</w:t>
            </w:r>
            <w:proofErr w:type="spellEnd"/>
            <w:r>
              <w:t xml:space="preserve"> darbības principam un šādos gadījumos </w:t>
            </w:r>
            <w:r w:rsidRPr="00594182">
              <w:rPr>
                <w:b/>
                <w:bCs/>
              </w:rPr>
              <w:t>atbalsts nav paredzēts</w:t>
            </w:r>
            <w:r>
              <w:t>.</w:t>
            </w:r>
          </w:p>
        </w:tc>
      </w:tr>
      <w:bookmarkEnd w:id="5"/>
      <w:bookmarkEnd w:id="6"/>
      <w:bookmarkEnd w:id="7"/>
      <w:bookmarkEnd w:id="8"/>
    </w:tbl>
    <w:p w14:paraId="008D6F2C" w14:textId="12F93095" w:rsidR="004D44E0" w:rsidRPr="00C21EAA" w:rsidRDefault="004D44E0"/>
    <w:sectPr w:rsidR="004D44E0" w:rsidRPr="00C21EAA" w:rsidSect="00AB59BD">
      <w:headerReference w:type="default" r:id="rId11"/>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3DA72" w14:textId="77777777" w:rsidR="008B3940" w:rsidRDefault="008B3940" w:rsidP="00AB59BD">
      <w:r>
        <w:separator/>
      </w:r>
    </w:p>
  </w:endnote>
  <w:endnote w:type="continuationSeparator" w:id="0">
    <w:p w14:paraId="0A5C7B9F" w14:textId="77777777" w:rsidR="008B3940" w:rsidRDefault="008B3940" w:rsidP="00AB5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2825C" w14:textId="77777777" w:rsidR="008B3940" w:rsidRDefault="008B3940" w:rsidP="00AB59BD">
      <w:r>
        <w:separator/>
      </w:r>
    </w:p>
  </w:footnote>
  <w:footnote w:type="continuationSeparator" w:id="0">
    <w:p w14:paraId="5AB4A98E" w14:textId="77777777" w:rsidR="008B3940" w:rsidRDefault="008B3940" w:rsidP="00AB59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77972" w14:textId="77777777" w:rsidR="00AB59BD" w:rsidRDefault="00AB59BD" w:rsidP="00AB59BD">
    <w:pPr>
      <w:jc w:val="right"/>
      <w:rPr>
        <w:noProof/>
        <w:lang w:eastAsia="lv-LV"/>
      </w:rPr>
    </w:pPr>
  </w:p>
  <w:p w14:paraId="1E1AB80C" w14:textId="77777777" w:rsidR="00AB49B6" w:rsidRDefault="00AB49B6" w:rsidP="00AB59BD">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06E2F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DC23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84392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5E5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DC6C7F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68C4E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160DF4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BAAFF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DC4A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E6C18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5F2C59"/>
    <w:multiLevelType w:val="hybridMultilevel"/>
    <w:tmpl w:val="31ACF08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4D6696A"/>
    <w:multiLevelType w:val="hybridMultilevel"/>
    <w:tmpl w:val="B97EBF8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6AB2295"/>
    <w:multiLevelType w:val="hybridMultilevel"/>
    <w:tmpl w:val="CCFECD3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5BE52DC5"/>
    <w:multiLevelType w:val="hybridMultilevel"/>
    <w:tmpl w:val="18221C3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5EA35BB0"/>
    <w:multiLevelType w:val="hybridMultilevel"/>
    <w:tmpl w:val="962C8A4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688924E4"/>
    <w:multiLevelType w:val="hybridMultilevel"/>
    <w:tmpl w:val="DD56C49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6ABA203A"/>
    <w:multiLevelType w:val="hybridMultilevel"/>
    <w:tmpl w:val="B98E01D6"/>
    <w:lvl w:ilvl="0" w:tplc="4E7652E6">
      <w:start w:val="1"/>
      <w:numFmt w:val="decimal"/>
      <w:lvlText w:val="%1)"/>
      <w:lvlJc w:val="left"/>
      <w:pPr>
        <w:ind w:left="465" w:hanging="360"/>
      </w:pPr>
      <w:rPr>
        <w:rFonts w:hint="default"/>
      </w:rPr>
    </w:lvl>
    <w:lvl w:ilvl="1" w:tplc="04260019" w:tentative="1">
      <w:start w:val="1"/>
      <w:numFmt w:val="lowerLetter"/>
      <w:lvlText w:val="%2."/>
      <w:lvlJc w:val="left"/>
      <w:pPr>
        <w:ind w:left="1185" w:hanging="360"/>
      </w:pPr>
    </w:lvl>
    <w:lvl w:ilvl="2" w:tplc="0426001B" w:tentative="1">
      <w:start w:val="1"/>
      <w:numFmt w:val="lowerRoman"/>
      <w:lvlText w:val="%3."/>
      <w:lvlJc w:val="right"/>
      <w:pPr>
        <w:ind w:left="1905" w:hanging="180"/>
      </w:pPr>
    </w:lvl>
    <w:lvl w:ilvl="3" w:tplc="0426000F" w:tentative="1">
      <w:start w:val="1"/>
      <w:numFmt w:val="decimal"/>
      <w:lvlText w:val="%4."/>
      <w:lvlJc w:val="left"/>
      <w:pPr>
        <w:ind w:left="2625" w:hanging="360"/>
      </w:pPr>
    </w:lvl>
    <w:lvl w:ilvl="4" w:tplc="04260019" w:tentative="1">
      <w:start w:val="1"/>
      <w:numFmt w:val="lowerLetter"/>
      <w:lvlText w:val="%5."/>
      <w:lvlJc w:val="left"/>
      <w:pPr>
        <w:ind w:left="3345" w:hanging="360"/>
      </w:pPr>
    </w:lvl>
    <w:lvl w:ilvl="5" w:tplc="0426001B" w:tentative="1">
      <w:start w:val="1"/>
      <w:numFmt w:val="lowerRoman"/>
      <w:lvlText w:val="%6."/>
      <w:lvlJc w:val="right"/>
      <w:pPr>
        <w:ind w:left="4065" w:hanging="180"/>
      </w:pPr>
    </w:lvl>
    <w:lvl w:ilvl="6" w:tplc="0426000F" w:tentative="1">
      <w:start w:val="1"/>
      <w:numFmt w:val="decimal"/>
      <w:lvlText w:val="%7."/>
      <w:lvlJc w:val="left"/>
      <w:pPr>
        <w:ind w:left="4785" w:hanging="360"/>
      </w:pPr>
    </w:lvl>
    <w:lvl w:ilvl="7" w:tplc="04260019" w:tentative="1">
      <w:start w:val="1"/>
      <w:numFmt w:val="lowerLetter"/>
      <w:lvlText w:val="%8."/>
      <w:lvlJc w:val="left"/>
      <w:pPr>
        <w:ind w:left="5505" w:hanging="360"/>
      </w:pPr>
    </w:lvl>
    <w:lvl w:ilvl="8" w:tplc="0426001B" w:tentative="1">
      <w:start w:val="1"/>
      <w:numFmt w:val="lowerRoman"/>
      <w:lvlText w:val="%9."/>
      <w:lvlJc w:val="right"/>
      <w:pPr>
        <w:ind w:left="6225" w:hanging="180"/>
      </w:pPr>
    </w:lvl>
  </w:abstractNum>
  <w:num w:numId="1" w16cid:durableId="983195076">
    <w:abstractNumId w:val="14"/>
  </w:num>
  <w:num w:numId="2" w16cid:durableId="1850867738">
    <w:abstractNumId w:val="11"/>
  </w:num>
  <w:num w:numId="3" w16cid:durableId="406419750">
    <w:abstractNumId w:val="10"/>
  </w:num>
  <w:num w:numId="4" w16cid:durableId="90395416">
    <w:abstractNumId w:val="16"/>
  </w:num>
  <w:num w:numId="5" w16cid:durableId="1121269460">
    <w:abstractNumId w:val="9"/>
  </w:num>
  <w:num w:numId="6" w16cid:durableId="1076050938">
    <w:abstractNumId w:val="7"/>
  </w:num>
  <w:num w:numId="7" w16cid:durableId="963078294">
    <w:abstractNumId w:val="6"/>
  </w:num>
  <w:num w:numId="8" w16cid:durableId="1871644515">
    <w:abstractNumId w:val="5"/>
  </w:num>
  <w:num w:numId="9" w16cid:durableId="2113283633">
    <w:abstractNumId w:val="4"/>
  </w:num>
  <w:num w:numId="10" w16cid:durableId="537085550">
    <w:abstractNumId w:val="8"/>
  </w:num>
  <w:num w:numId="11" w16cid:durableId="280260606">
    <w:abstractNumId w:val="3"/>
  </w:num>
  <w:num w:numId="12" w16cid:durableId="340399313">
    <w:abstractNumId w:val="2"/>
  </w:num>
  <w:num w:numId="13" w16cid:durableId="1548178604">
    <w:abstractNumId w:val="1"/>
  </w:num>
  <w:num w:numId="14" w16cid:durableId="1814252339">
    <w:abstractNumId w:val="0"/>
  </w:num>
  <w:num w:numId="15" w16cid:durableId="89814967">
    <w:abstractNumId w:val="15"/>
  </w:num>
  <w:num w:numId="16" w16cid:durableId="1089227989">
    <w:abstractNumId w:val="12"/>
  </w:num>
  <w:num w:numId="17" w16cid:durableId="11164870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9BD"/>
    <w:rsid w:val="000001FA"/>
    <w:rsid w:val="0000041C"/>
    <w:rsid w:val="000006DB"/>
    <w:rsid w:val="00000B49"/>
    <w:rsid w:val="00004CB1"/>
    <w:rsid w:val="00010CEE"/>
    <w:rsid w:val="00012D81"/>
    <w:rsid w:val="00013D2E"/>
    <w:rsid w:val="00016CF5"/>
    <w:rsid w:val="00021275"/>
    <w:rsid w:val="000213DF"/>
    <w:rsid w:val="00022CA7"/>
    <w:rsid w:val="0002574E"/>
    <w:rsid w:val="000278AE"/>
    <w:rsid w:val="00053793"/>
    <w:rsid w:val="00055239"/>
    <w:rsid w:val="000575C6"/>
    <w:rsid w:val="000606BD"/>
    <w:rsid w:val="00062C79"/>
    <w:rsid w:val="00064F10"/>
    <w:rsid w:val="000672E7"/>
    <w:rsid w:val="0009237A"/>
    <w:rsid w:val="000940FC"/>
    <w:rsid w:val="00095752"/>
    <w:rsid w:val="000A12ED"/>
    <w:rsid w:val="000A1F47"/>
    <w:rsid w:val="000A3CC4"/>
    <w:rsid w:val="000B37DE"/>
    <w:rsid w:val="000B37F4"/>
    <w:rsid w:val="000C0CAC"/>
    <w:rsid w:val="000C4154"/>
    <w:rsid w:val="000C70C5"/>
    <w:rsid w:val="000C748F"/>
    <w:rsid w:val="000D1EB7"/>
    <w:rsid w:val="000D3FA6"/>
    <w:rsid w:val="000E06CE"/>
    <w:rsid w:val="000E0874"/>
    <w:rsid w:val="000E10F7"/>
    <w:rsid w:val="000E469F"/>
    <w:rsid w:val="000E6925"/>
    <w:rsid w:val="001018AB"/>
    <w:rsid w:val="0010312A"/>
    <w:rsid w:val="00112B63"/>
    <w:rsid w:val="00116D88"/>
    <w:rsid w:val="00121222"/>
    <w:rsid w:val="00122909"/>
    <w:rsid w:val="0012437F"/>
    <w:rsid w:val="0013291A"/>
    <w:rsid w:val="00134554"/>
    <w:rsid w:val="00137E0C"/>
    <w:rsid w:val="00140BAB"/>
    <w:rsid w:val="001559CB"/>
    <w:rsid w:val="001663B8"/>
    <w:rsid w:val="00172029"/>
    <w:rsid w:val="001721F5"/>
    <w:rsid w:val="00176CD7"/>
    <w:rsid w:val="00180F42"/>
    <w:rsid w:val="00182B56"/>
    <w:rsid w:val="00183B55"/>
    <w:rsid w:val="00186457"/>
    <w:rsid w:val="00187717"/>
    <w:rsid w:val="001A3142"/>
    <w:rsid w:val="001B1DDA"/>
    <w:rsid w:val="001B1F59"/>
    <w:rsid w:val="001B3C5D"/>
    <w:rsid w:val="001B4908"/>
    <w:rsid w:val="001B5952"/>
    <w:rsid w:val="001C7DA3"/>
    <w:rsid w:val="001D1942"/>
    <w:rsid w:val="001E4ACC"/>
    <w:rsid w:val="001F541E"/>
    <w:rsid w:val="0020240C"/>
    <w:rsid w:val="0020383B"/>
    <w:rsid w:val="00204152"/>
    <w:rsid w:val="00205E34"/>
    <w:rsid w:val="0020709C"/>
    <w:rsid w:val="002147FB"/>
    <w:rsid w:val="00215868"/>
    <w:rsid w:val="002215AE"/>
    <w:rsid w:val="00221BE5"/>
    <w:rsid w:val="00222052"/>
    <w:rsid w:val="002317A1"/>
    <w:rsid w:val="00231E53"/>
    <w:rsid w:val="0023733A"/>
    <w:rsid w:val="00241FCA"/>
    <w:rsid w:val="00242236"/>
    <w:rsid w:val="00242496"/>
    <w:rsid w:val="00244C3B"/>
    <w:rsid w:val="0026198C"/>
    <w:rsid w:val="00262167"/>
    <w:rsid w:val="0026413C"/>
    <w:rsid w:val="00266A78"/>
    <w:rsid w:val="00270184"/>
    <w:rsid w:val="00270AB4"/>
    <w:rsid w:val="0028039C"/>
    <w:rsid w:val="00280EE3"/>
    <w:rsid w:val="0029147B"/>
    <w:rsid w:val="00295F16"/>
    <w:rsid w:val="002A1EC1"/>
    <w:rsid w:val="002A64AD"/>
    <w:rsid w:val="002B05F0"/>
    <w:rsid w:val="002B41E2"/>
    <w:rsid w:val="002C1368"/>
    <w:rsid w:val="002D0082"/>
    <w:rsid w:val="002D27D0"/>
    <w:rsid w:val="002F22F4"/>
    <w:rsid w:val="002F2C0F"/>
    <w:rsid w:val="002F476E"/>
    <w:rsid w:val="002F7F10"/>
    <w:rsid w:val="00301303"/>
    <w:rsid w:val="003019E6"/>
    <w:rsid w:val="00315341"/>
    <w:rsid w:val="00315BEA"/>
    <w:rsid w:val="0032007A"/>
    <w:rsid w:val="0032061A"/>
    <w:rsid w:val="00333818"/>
    <w:rsid w:val="003348C5"/>
    <w:rsid w:val="003443E4"/>
    <w:rsid w:val="003446BE"/>
    <w:rsid w:val="00351010"/>
    <w:rsid w:val="003527BD"/>
    <w:rsid w:val="00352C47"/>
    <w:rsid w:val="003553EC"/>
    <w:rsid w:val="00355B51"/>
    <w:rsid w:val="00363A9B"/>
    <w:rsid w:val="00372CBA"/>
    <w:rsid w:val="003814F7"/>
    <w:rsid w:val="00385006"/>
    <w:rsid w:val="003874A7"/>
    <w:rsid w:val="00387C70"/>
    <w:rsid w:val="0039104F"/>
    <w:rsid w:val="003A040A"/>
    <w:rsid w:val="003A4721"/>
    <w:rsid w:val="003B54F6"/>
    <w:rsid w:val="003B5882"/>
    <w:rsid w:val="003B65A2"/>
    <w:rsid w:val="003C5E98"/>
    <w:rsid w:val="003C7491"/>
    <w:rsid w:val="003D1BC9"/>
    <w:rsid w:val="003D48AB"/>
    <w:rsid w:val="003D61A4"/>
    <w:rsid w:val="003D6BD0"/>
    <w:rsid w:val="003E1BD2"/>
    <w:rsid w:val="003E76EC"/>
    <w:rsid w:val="003E7F40"/>
    <w:rsid w:val="003F2F54"/>
    <w:rsid w:val="003F7CB5"/>
    <w:rsid w:val="004012C8"/>
    <w:rsid w:val="00405AAA"/>
    <w:rsid w:val="00406B61"/>
    <w:rsid w:val="004136FE"/>
    <w:rsid w:val="00421627"/>
    <w:rsid w:val="00422722"/>
    <w:rsid w:val="00422760"/>
    <w:rsid w:val="00436988"/>
    <w:rsid w:val="00441A99"/>
    <w:rsid w:val="00446EFA"/>
    <w:rsid w:val="00446F07"/>
    <w:rsid w:val="0046543D"/>
    <w:rsid w:val="00466BCD"/>
    <w:rsid w:val="00480427"/>
    <w:rsid w:val="00485ABC"/>
    <w:rsid w:val="00487574"/>
    <w:rsid w:val="004926FB"/>
    <w:rsid w:val="00493C28"/>
    <w:rsid w:val="004A1466"/>
    <w:rsid w:val="004A3B5B"/>
    <w:rsid w:val="004A4AF8"/>
    <w:rsid w:val="004B2363"/>
    <w:rsid w:val="004B3EBC"/>
    <w:rsid w:val="004B463A"/>
    <w:rsid w:val="004B4E18"/>
    <w:rsid w:val="004B63A4"/>
    <w:rsid w:val="004C2819"/>
    <w:rsid w:val="004C2FF4"/>
    <w:rsid w:val="004C4915"/>
    <w:rsid w:val="004D0D3C"/>
    <w:rsid w:val="004D4025"/>
    <w:rsid w:val="004D44E0"/>
    <w:rsid w:val="004D6EBD"/>
    <w:rsid w:val="004E1110"/>
    <w:rsid w:val="004F1C5F"/>
    <w:rsid w:val="004F3807"/>
    <w:rsid w:val="00500CBF"/>
    <w:rsid w:val="00501BFE"/>
    <w:rsid w:val="00501E88"/>
    <w:rsid w:val="00502074"/>
    <w:rsid w:val="005113AA"/>
    <w:rsid w:val="005153AE"/>
    <w:rsid w:val="005240D2"/>
    <w:rsid w:val="005243D8"/>
    <w:rsid w:val="00527CAE"/>
    <w:rsid w:val="005365ED"/>
    <w:rsid w:val="005447DA"/>
    <w:rsid w:val="00545726"/>
    <w:rsid w:val="005500C3"/>
    <w:rsid w:val="00564BE4"/>
    <w:rsid w:val="005653FB"/>
    <w:rsid w:val="005658ED"/>
    <w:rsid w:val="00565C90"/>
    <w:rsid w:val="005828B4"/>
    <w:rsid w:val="005848FE"/>
    <w:rsid w:val="0058692E"/>
    <w:rsid w:val="00590347"/>
    <w:rsid w:val="00590874"/>
    <w:rsid w:val="00593D4D"/>
    <w:rsid w:val="00594182"/>
    <w:rsid w:val="005A22DC"/>
    <w:rsid w:val="005A5130"/>
    <w:rsid w:val="005A580F"/>
    <w:rsid w:val="005B00CA"/>
    <w:rsid w:val="005B7FB4"/>
    <w:rsid w:val="005D7442"/>
    <w:rsid w:val="005E336F"/>
    <w:rsid w:val="005F0F45"/>
    <w:rsid w:val="006024EE"/>
    <w:rsid w:val="0060319A"/>
    <w:rsid w:val="006037CA"/>
    <w:rsid w:val="00612122"/>
    <w:rsid w:val="00616F0E"/>
    <w:rsid w:val="00622EC4"/>
    <w:rsid w:val="006324A6"/>
    <w:rsid w:val="006447A1"/>
    <w:rsid w:val="00645F8D"/>
    <w:rsid w:val="006461A6"/>
    <w:rsid w:val="0064734A"/>
    <w:rsid w:val="006512FE"/>
    <w:rsid w:val="00660DF4"/>
    <w:rsid w:val="0067173B"/>
    <w:rsid w:val="006757D8"/>
    <w:rsid w:val="00676697"/>
    <w:rsid w:val="00682EB2"/>
    <w:rsid w:val="006866A7"/>
    <w:rsid w:val="006934D8"/>
    <w:rsid w:val="006A2C2B"/>
    <w:rsid w:val="006A350A"/>
    <w:rsid w:val="006A5BFD"/>
    <w:rsid w:val="006B17D9"/>
    <w:rsid w:val="006B4275"/>
    <w:rsid w:val="006C5AA1"/>
    <w:rsid w:val="006D762F"/>
    <w:rsid w:val="006D79BD"/>
    <w:rsid w:val="006E1E6C"/>
    <w:rsid w:val="006F2CCF"/>
    <w:rsid w:val="007124B7"/>
    <w:rsid w:val="00713DB1"/>
    <w:rsid w:val="007152E1"/>
    <w:rsid w:val="00720D10"/>
    <w:rsid w:val="00721B5A"/>
    <w:rsid w:val="0072481D"/>
    <w:rsid w:val="0073139A"/>
    <w:rsid w:val="0073149C"/>
    <w:rsid w:val="007343D9"/>
    <w:rsid w:val="00737CB3"/>
    <w:rsid w:val="007413B1"/>
    <w:rsid w:val="007536E7"/>
    <w:rsid w:val="007551A7"/>
    <w:rsid w:val="007563C9"/>
    <w:rsid w:val="00756D67"/>
    <w:rsid w:val="0076707D"/>
    <w:rsid w:val="00775B7A"/>
    <w:rsid w:val="00787FBD"/>
    <w:rsid w:val="00794AE3"/>
    <w:rsid w:val="007A4731"/>
    <w:rsid w:val="007A5268"/>
    <w:rsid w:val="007B520A"/>
    <w:rsid w:val="007B5256"/>
    <w:rsid w:val="007B6E8E"/>
    <w:rsid w:val="007C03A4"/>
    <w:rsid w:val="007C1B44"/>
    <w:rsid w:val="007C1C37"/>
    <w:rsid w:val="007C7965"/>
    <w:rsid w:val="007D1FFA"/>
    <w:rsid w:val="007E3F1C"/>
    <w:rsid w:val="007F24BF"/>
    <w:rsid w:val="007F48F7"/>
    <w:rsid w:val="007F4F72"/>
    <w:rsid w:val="007F659B"/>
    <w:rsid w:val="00803567"/>
    <w:rsid w:val="00805306"/>
    <w:rsid w:val="00805963"/>
    <w:rsid w:val="008059B8"/>
    <w:rsid w:val="00834055"/>
    <w:rsid w:val="0083486A"/>
    <w:rsid w:val="00841582"/>
    <w:rsid w:val="00844A89"/>
    <w:rsid w:val="00847A9E"/>
    <w:rsid w:val="008503A2"/>
    <w:rsid w:val="00853455"/>
    <w:rsid w:val="008546A8"/>
    <w:rsid w:val="00865E6B"/>
    <w:rsid w:val="00865F2C"/>
    <w:rsid w:val="008732E0"/>
    <w:rsid w:val="00880642"/>
    <w:rsid w:val="008854F0"/>
    <w:rsid w:val="00890951"/>
    <w:rsid w:val="008A0DAD"/>
    <w:rsid w:val="008B187A"/>
    <w:rsid w:val="008B3940"/>
    <w:rsid w:val="008C1D04"/>
    <w:rsid w:val="008C573E"/>
    <w:rsid w:val="008E038E"/>
    <w:rsid w:val="008E0C26"/>
    <w:rsid w:val="008E1D12"/>
    <w:rsid w:val="008F5942"/>
    <w:rsid w:val="008F7A19"/>
    <w:rsid w:val="009079C4"/>
    <w:rsid w:val="00910149"/>
    <w:rsid w:val="00910456"/>
    <w:rsid w:val="00910B77"/>
    <w:rsid w:val="0091551B"/>
    <w:rsid w:val="009178B9"/>
    <w:rsid w:val="00917EF9"/>
    <w:rsid w:val="00922DF7"/>
    <w:rsid w:val="009235C6"/>
    <w:rsid w:val="009306B8"/>
    <w:rsid w:val="009336CB"/>
    <w:rsid w:val="00934EBA"/>
    <w:rsid w:val="00944004"/>
    <w:rsid w:val="009505E5"/>
    <w:rsid w:val="009508FC"/>
    <w:rsid w:val="00950B5C"/>
    <w:rsid w:val="00952C3D"/>
    <w:rsid w:val="009743EE"/>
    <w:rsid w:val="009747C2"/>
    <w:rsid w:val="00985E4B"/>
    <w:rsid w:val="009961B9"/>
    <w:rsid w:val="009B31A5"/>
    <w:rsid w:val="009B68EE"/>
    <w:rsid w:val="009C1284"/>
    <w:rsid w:val="009C4C64"/>
    <w:rsid w:val="009C6F5D"/>
    <w:rsid w:val="009C7996"/>
    <w:rsid w:val="009D38BB"/>
    <w:rsid w:val="009D5759"/>
    <w:rsid w:val="009E5BCC"/>
    <w:rsid w:val="009E61BD"/>
    <w:rsid w:val="009E7152"/>
    <w:rsid w:val="00A011C0"/>
    <w:rsid w:val="00A01E84"/>
    <w:rsid w:val="00A11D80"/>
    <w:rsid w:val="00A126AE"/>
    <w:rsid w:val="00A16AF2"/>
    <w:rsid w:val="00A26A07"/>
    <w:rsid w:val="00A34390"/>
    <w:rsid w:val="00A35DF2"/>
    <w:rsid w:val="00A36FEF"/>
    <w:rsid w:val="00A37C54"/>
    <w:rsid w:val="00A40EF6"/>
    <w:rsid w:val="00A4263A"/>
    <w:rsid w:val="00A47D51"/>
    <w:rsid w:val="00A55064"/>
    <w:rsid w:val="00A565CF"/>
    <w:rsid w:val="00A614B1"/>
    <w:rsid w:val="00A64F1C"/>
    <w:rsid w:val="00A67AFA"/>
    <w:rsid w:val="00A71B1A"/>
    <w:rsid w:val="00A72893"/>
    <w:rsid w:val="00A81D9C"/>
    <w:rsid w:val="00A82E92"/>
    <w:rsid w:val="00A84BA5"/>
    <w:rsid w:val="00A926FF"/>
    <w:rsid w:val="00AA3309"/>
    <w:rsid w:val="00AB16B3"/>
    <w:rsid w:val="00AB399F"/>
    <w:rsid w:val="00AB49B6"/>
    <w:rsid w:val="00AB59BD"/>
    <w:rsid w:val="00AB6143"/>
    <w:rsid w:val="00AC0409"/>
    <w:rsid w:val="00AC1556"/>
    <w:rsid w:val="00AC2B7B"/>
    <w:rsid w:val="00AC5A27"/>
    <w:rsid w:val="00AC5DEA"/>
    <w:rsid w:val="00AC760F"/>
    <w:rsid w:val="00AD4080"/>
    <w:rsid w:val="00AD4566"/>
    <w:rsid w:val="00AD4FFE"/>
    <w:rsid w:val="00AD53A3"/>
    <w:rsid w:val="00AD7DFB"/>
    <w:rsid w:val="00AF3075"/>
    <w:rsid w:val="00AF4660"/>
    <w:rsid w:val="00B00AD4"/>
    <w:rsid w:val="00B0453F"/>
    <w:rsid w:val="00B04710"/>
    <w:rsid w:val="00B07783"/>
    <w:rsid w:val="00B118D2"/>
    <w:rsid w:val="00B13B59"/>
    <w:rsid w:val="00B21073"/>
    <w:rsid w:val="00B21B83"/>
    <w:rsid w:val="00B25BA7"/>
    <w:rsid w:val="00B25F4A"/>
    <w:rsid w:val="00B26EE2"/>
    <w:rsid w:val="00B343E1"/>
    <w:rsid w:val="00B41ED9"/>
    <w:rsid w:val="00B4338C"/>
    <w:rsid w:val="00B4744D"/>
    <w:rsid w:val="00B47ADE"/>
    <w:rsid w:val="00B47EFA"/>
    <w:rsid w:val="00B51274"/>
    <w:rsid w:val="00B54B69"/>
    <w:rsid w:val="00B56ADE"/>
    <w:rsid w:val="00B67C12"/>
    <w:rsid w:val="00B70E24"/>
    <w:rsid w:val="00B74801"/>
    <w:rsid w:val="00B83022"/>
    <w:rsid w:val="00B84A4A"/>
    <w:rsid w:val="00B90E5F"/>
    <w:rsid w:val="00BA2C7A"/>
    <w:rsid w:val="00BA71A3"/>
    <w:rsid w:val="00BB29BD"/>
    <w:rsid w:val="00BC21D9"/>
    <w:rsid w:val="00BC708B"/>
    <w:rsid w:val="00BC7374"/>
    <w:rsid w:val="00BC7589"/>
    <w:rsid w:val="00BC7FC8"/>
    <w:rsid w:val="00BD5FE3"/>
    <w:rsid w:val="00BD6116"/>
    <w:rsid w:val="00BD6ACC"/>
    <w:rsid w:val="00BD7784"/>
    <w:rsid w:val="00BE5948"/>
    <w:rsid w:val="00BE75CA"/>
    <w:rsid w:val="00BF1E2C"/>
    <w:rsid w:val="00BF23AC"/>
    <w:rsid w:val="00BF53CF"/>
    <w:rsid w:val="00C11F99"/>
    <w:rsid w:val="00C15DDB"/>
    <w:rsid w:val="00C20964"/>
    <w:rsid w:val="00C21EAA"/>
    <w:rsid w:val="00C23A23"/>
    <w:rsid w:val="00C42721"/>
    <w:rsid w:val="00C55BA8"/>
    <w:rsid w:val="00C57B81"/>
    <w:rsid w:val="00C62017"/>
    <w:rsid w:val="00C7098C"/>
    <w:rsid w:val="00C7222A"/>
    <w:rsid w:val="00C8033A"/>
    <w:rsid w:val="00C8661C"/>
    <w:rsid w:val="00C87057"/>
    <w:rsid w:val="00C96432"/>
    <w:rsid w:val="00C975BD"/>
    <w:rsid w:val="00CB2DB0"/>
    <w:rsid w:val="00CB5304"/>
    <w:rsid w:val="00CC6494"/>
    <w:rsid w:val="00CD0088"/>
    <w:rsid w:val="00CD1A58"/>
    <w:rsid w:val="00CD4DC1"/>
    <w:rsid w:val="00CE5B09"/>
    <w:rsid w:val="00CF280C"/>
    <w:rsid w:val="00CF4333"/>
    <w:rsid w:val="00D0650B"/>
    <w:rsid w:val="00D11DC0"/>
    <w:rsid w:val="00D1264F"/>
    <w:rsid w:val="00D15050"/>
    <w:rsid w:val="00D3436A"/>
    <w:rsid w:val="00D34F7B"/>
    <w:rsid w:val="00D370B9"/>
    <w:rsid w:val="00D427A6"/>
    <w:rsid w:val="00D44B7E"/>
    <w:rsid w:val="00D44E1B"/>
    <w:rsid w:val="00D606D7"/>
    <w:rsid w:val="00D71202"/>
    <w:rsid w:val="00D727CE"/>
    <w:rsid w:val="00D76F6E"/>
    <w:rsid w:val="00D7791E"/>
    <w:rsid w:val="00D80FC5"/>
    <w:rsid w:val="00D87AAB"/>
    <w:rsid w:val="00D91EE4"/>
    <w:rsid w:val="00D9372C"/>
    <w:rsid w:val="00D945C9"/>
    <w:rsid w:val="00D96656"/>
    <w:rsid w:val="00D96A96"/>
    <w:rsid w:val="00DA014B"/>
    <w:rsid w:val="00DA18AA"/>
    <w:rsid w:val="00DA2AA5"/>
    <w:rsid w:val="00DA34EB"/>
    <w:rsid w:val="00DA5669"/>
    <w:rsid w:val="00DB1FF4"/>
    <w:rsid w:val="00DB27A6"/>
    <w:rsid w:val="00DB54FF"/>
    <w:rsid w:val="00DD0F3D"/>
    <w:rsid w:val="00DD1979"/>
    <w:rsid w:val="00DD319C"/>
    <w:rsid w:val="00DD3A2F"/>
    <w:rsid w:val="00DE1188"/>
    <w:rsid w:val="00DE1DC1"/>
    <w:rsid w:val="00DF1CC7"/>
    <w:rsid w:val="00DF7547"/>
    <w:rsid w:val="00E224F6"/>
    <w:rsid w:val="00E300CA"/>
    <w:rsid w:val="00E50339"/>
    <w:rsid w:val="00E5235C"/>
    <w:rsid w:val="00E5306C"/>
    <w:rsid w:val="00E557A1"/>
    <w:rsid w:val="00E61AF3"/>
    <w:rsid w:val="00E6339F"/>
    <w:rsid w:val="00E63655"/>
    <w:rsid w:val="00E63D45"/>
    <w:rsid w:val="00E65B06"/>
    <w:rsid w:val="00E70400"/>
    <w:rsid w:val="00E83F47"/>
    <w:rsid w:val="00E84DA3"/>
    <w:rsid w:val="00E85F5C"/>
    <w:rsid w:val="00E86E32"/>
    <w:rsid w:val="00EA1EC0"/>
    <w:rsid w:val="00EB39E2"/>
    <w:rsid w:val="00EB656E"/>
    <w:rsid w:val="00EC092F"/>
    <w:rsid w:val="00EC403C"/>
    <w:rsid w:val="00EC6906"/>
    <w:rsid w:val="00EC7E6F"/>
    <w:rsid w:val="00ED2C36"/>
    <w:rsid w:val="00EE48E7"/>
    <w:rsid w:val="00EE6CD5"/>
    <w:rsid w:val="00EF4827"/>
    <w:rsid w:val="00F07C6E"/>
    <w:rsid w:val="00F12CC6"/>
    <w:rsid w:val="00F136E5"/>
    <w:rsid w:val="00F21ECA"/>
    <w:rsid w:val="00F32EA2"/>
    <w:rsid w:val="00F37C41"/>
    <w:rsid w:val="00F47158"/>
    <w:rsid w:val="00F47AD1"/>
    <w:rsid w:val="00F50428"/>
    <w:rsid w:val="00F51D5D"/>
    <w:rsid w:val="00F5344F"/>
    <w:rsid w:val="00F6138F"/>
    <w:rsid w:val="00F66883"/>
    <w:rsid w:val="00F66FDE"/>
    <w:rsid w:val="00F6704B"/>
    <w:rsid w:val="00F67D76"/>
    <w:rsid w:val="00F83C0D"/>
    <w:rsid w:val="00F90C08"/>
    <w:rsid w:val="00F9656B"/>
    <w:rsid w:val="00F9772C"/>
    <w:rsid w:val="00FA0DA7"/>
    <w:rsid w:val="00FA457A"/>
    <w:rsid w:val="00FB2654"/>
    <w:rsid w:val="00FC0931"/>
    <w:rsid w:val="00FD417B"/>
    <w:rsid w:val="00FE1D64"/>
    <w:rsid w:val="00FF1AC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E8A10"/>
  <w15:docId w15:val="{2FF50008-7654-4C2D-B670-38B5DA6EC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000000"/>
        <w:sz w:val="22"/>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C36"/>
  </w:style>
  <w:style w:type="paragraph" w:styleId="Heading1">
    <w:name w:val="heading 1"/>
    <w:basedOn w:val="Normal"/>
    <w:next w:val="Normal"/>
    <w:link w:val="Heading1Char"/>
    <w:uiPriority w:val="9"/>
    <w:qFormat/>
    <w:rsid w:val="005243D8"/>
    <w:pPr>
      <w:keepNext/>
      <w:keepLines/>
      <w:spacing w:before="480"/>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57B81"/>
    <w:pPr>
      <w:keepNext/>
      <w:keepLines/>
      <w:spacing w:before="200"/>
      <w:outlineLvl w:val="1"/>
    </w:pPr>
    <w:rPr>
      <w:rFonts w:eastAsiaTheme="majorEastAsia"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D44E0"/>
    <w:rPr>
      <w:rFonts w:eastAsia="Calibri"/>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243D8"/>
    <w:rPr>
      <w:rFonts w:eastAsiaTheme="majorEastAsia" w:cstheme="majorBidi"/>
      <w:b/>
      <w:bCs/>
      <w:color w:val="365F91" w:themeColor="accent1" w:themeShade="BF"/>
      <w:sz w:val="28"/>
      <w:szCs w:val="28"/>
    </w:rPr>
  </w:style>
  <w:style w:type="character" w:styleId="Hyperlink">
    <w:name w:val="Hyperlink"/>
    <w:basedOn w:val="DefaultParagraphFont"/>
    <w:uiPriority w:val="99"/>
    <w:unhideWhenUsed/>
    <w:rsid w:val="00AB59BD"/>
    <w:rPr>
      <w:color w:val="0000FF" w:themeColor="hyperlink"/>
      <w:u w:val="single"/>
    </w:rPr>
  </w:style>
  <w:style w:type="character" w:styleId="FollowedHyperlink">
    <w:name w:val="FollowedHyperlink"/>
    <w:basedOn w:val="DefaultParagraphFont"/>
    <w:uiPriority w:val="99"/>
    <w:semiHidden/>
    <w:unhideWhenUsed/>
    <w:rsid w:val="0028039C"/>
    <w:rPr>
      <w:color w:val="800080" w:themeColor="followedHyperlink"/>
      <w:u w:val="single"/>
    </w:rPr>
  </w:style>
  <w:style w:type="character" w:styleId="CommentReference">
    <w:name w:val="annotation reference"/>
    <w:basedOn w:val="DefaultParagraphFont"/>
    <w:uiPriority w:val="99"/>
    <w:semiHidden/>
    <w:unhideWhenUsed/>
    <w:rsid w:val="00241FCA"/>
    <w:rPr>
      <w:sz w:val="16"/>
      <w:szCs w:val="16"/>
    </w:rPr>
  </w:style>
  <w:style w:type="paragraph" w:styleId="CommentText">
    <w:name w:val="annotation text"/>
    <w:basedOn w:val="Normal"/>
    <w:link w:val="CommentTextChar"/>
    <w:uiPriority w:val="99"/>
    <w:semiHidden/>
    <w:unhideWhenUsed/>
    <w:rsid w:val="00241FCA"/>
    <w:rPr>
      <w:sz w:val="20"/>
      <w:szCs w:val="20"/>
    </w:rPr>
  </w:style>
  <w:style w:type="character" w:customStyle="1" w:styleId="CommentTextChar">
    <w:name w:val="Comment Text Char"/>
    <w:basedOn w:val="DefaultParagraphFont"/>
    <w:link w:val="CommentText"/>
    <w:uiPriority w:val="99"/>
    <w:semiHidden/>
    <w:rsid w:val="00241FCA"/>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241FCA"/>
    <w:rPr>
      <w:b/>
      <w:bCs/>
    </w:rPr>
  </w:style>
  <w:style w:type="character" w:customStyle="1" w:styleId="CommentSubjectChar">
    <w:name w:val="Comment Subject Char"/>
    <w:basedOn w:val="CommentTextChar"/>
    <w:link w:val="CommentSubject"/>
    <w:uiPriority w:val="99"/>
    <w:semiHidden/>
    <w:rsid w:val="00241FCA"/>
    <w:rPr>
      <w:rFonts w:eastAsia="Times New Roman"/>
      <w:b/>
      <w:bCs/>
      <w:sz w:val="20"/>
      <w:szCs w:val="20"/>
    </w:rPr>
  </w:style>
  <w:style w:type="character" w:customStyle="1" w:styleId="Heading2Char">
    <w:name w:val="Heading 2 Char"/>
    <w:basedOn w:val="DefaultParagraphFont"/>
    <w:link w:val="Heading2"/>
    <w:uiPriority w:val="9"/>
    <w:semiHidden/>
    <w:rsid w:val="00C57B81"/>
    <w:rPr>
      <w:rFonts w:eastAsiaTheme="majorEastAsia" w:cstheme="majorBidi"/>
      <w:b/>
      <w:bCs/>
      <w:color w:val="4F81BD" w:themeColor="accent1"/>
      <w:sz w:val="26"/>
      <w:szCs w:val="26"/>
    </w:rPr>
  </w:style>
  <w:style w:type="paragraph" w:styleId="Revision">
    <w:name w:val="Revision"/>
    <w:hidden/>
    <w:uiPriority w:val="99"/>
    <w:semiHidden/>
    <w:rsid w:val="00D1264F"/>
    <w:rPr>
      <w:rFonts w:eastAsia="Times New Roman"/>
    </w:rPr>
  </w:style>
  <w:style w:type="paragraph" w:styleId="BalloonText">
    <w:name w:val="Balloon Text"/>
    <w:basedOn w:val="Normal"/>
    <w:link w:val="BalloonTextChar"/>
    <w:uiPriority w:val="99"/>
    <w:semiHidden/>
    <w:unhideWhenUsed/>
    <w:rsid w:val="00AC04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0409"/>
    <w:rPr>
      <w:rFonts w:ascii="Segoe UI" w:hAnsi="Segoe UI" w:cs="Segoe UI"/>
      <w:sz w:val="18"/>
      <w:szCs w:val="18"/>
    </w:rPr>
  </w:style>
  <w:style w:type="character" w:styleId="UnresolvedMention">
    <w:name w:val="Unresolved Mention"/>
    <w:basedOn w:val="DefaultParagraphFont"/>
    <w:uiPriority w:val="99"/>
    <w:semiHidden/>
    <w:unhideWhenUsed/>
    <w:rsid w:val="00E557A1"/>
    <w:rPr>
      <w:color w:val="605E5C"/>
      <w:shd w:val="clear" w:color="auto" w:fill="E1DFDD"/>
    </w:rPr>
  </w:style>
  <w:style w:type="paragraph" w:styleId="ListParagraph">
    <w:name w:val="List Paragraph"/>
    <w:basedOn w:val="Normal"/>
    <w:uiPriority w:val="34"/>
    <w:qFormat/>
    <w:rsid w:val="00865F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7856794">
      <w:bodyDiv w:val="1"/>
      <w:marLeft w:val="0"/>
      <w:marRight w:val="0"/>
      <w:marTop w:val="0"/>
      <w:marBottom w:val="0"/>
      <w:divBdr>
        <w:top w:val="none" w:sz="0" w:space="0" w:color="auto"/>
        <w:left w:val="none" w:sz="0" w:space="0" w:color="auto"/>
        <w:bottom w:val="none" w:sz="0" w:space="0" w:color="auto"/>
        <w:right w:val="none" w:sz="0" w:space="0" w:color="auto"/>
      </w:divBdr>
    </w:div>
    <w:div w:id="1575161683">
      <w:bodyDiv w:val="1"/>
      <w:marLeft w:val="0"/>
      <w:marRight w:val="0"/>
      <w:marTop w:val="0"/>
      <w:marBottom w:val="0"/>
      <w:divBdr>
        <w:top w:val="none" w:sz="0" w:space="0" w:color="auto"/>
        <w:left w:val="none" w:sz="0" w:space="0" w:color="auto"/>
        <w:bottom w:val="none" w:sz="0" w:space="0" w:color="auto"/>
        <w:right w:val="none" w:sz="0" w:space="0" w:color="auto"/>
      </w:divBdr>
    </w:div>
    <w:div w:id="1697534784">
      <w:bodyDiv w:val="1"/>
      <w:marLeft w:val="0"/>
      <w:marRight w:val="0"/>
      <w:marTop w:val="0"/>
      <w:marBottom w:val="0"/>
      <w:divBdr>
        <w:top w:val="none" w:sz="0" w:space="0" w:color="auto"/>
        <w:left w:val="none" w:sz="0" w:space="0" w:color="auto"/>
        <w:bottom w:val="none" w:sz="0" w:space="0" w:color="auto"/>
        <w:right w:val="none" w:sz="0" w:space="0" w:color="auto"/>
      </w:divBdr>
    </w:div>
    <w:div w:id="1904173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6652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eur-lex.europa.eu/legal-content/LV/TXT/?uri=CELEX%3A02014R0651-20230701" TargetMode="External"/><Relationship Id="rId4" Type="http://schemas.openxmlformats.org/officeDocument/2006/relationships/settings" Target="settings.xml"/><Relationship Id="rId9" Type="http://schemas.openxmlformats.org/officeDocument/2006/relationships/hyperlink" Target="https://eur-lex.europa.eu/eli/reg/2023/2831/oj/?loca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8FAB96-04CD-4CB7-9600-E76456E87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1337</TotalTime>
  <Pages>3</Pages>
  <Words>4609</Words>
  <Characters>2628</Characters>
  <Application>Microsoft Office Word</Application>
  <DocSecurity>0</DocSecurity>
  <Lines>21</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Hewlett-Packard Company</Company>
  <LinksUpToDate>false</LinksUpToDate>
  <CharactersWithSpaces>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Gints Kārkliņš</dc:creator>
  <cp:lastModifiedBy>Gints Kārkliņš</cp:lastModifiedBy>
  <cp:revision>44</cp:revision>
  <cp:lastPrinted>2018-08-29T12:50:00Z</cp:lastPrinted>
  <dcterms:created xsi:type="dcterms:W3CDTF">2024-08-01T10:37:00Z</dcterms:created>
  <dcterms:modified xsi:type="dcterms:W3CDTF">2026-04-22T06:32:00Z</dcterms:modified>
</cp:coreProperties>
</file>