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7DA408" w14:textId="77777777" w:rsidR="00A97C3C" w:rsidRPr="008C6A94" w:rsidRDefault="00C47A91" w:rsidP="00C47A91">
      <w:pPr>
        <w:jc w:val="center"/>
        <w:rPr>
          <w:b/>
          <w:bCs/>
        </w:rPr>
      </w:pPr>
      <w:r w:rsidRPr="00C47A91">
        <w:rPr>
          <w:b/>
          <w:bCs/>
        </w:rPr>
        <w:t>Attiecināmās izmaksas attaisnojošie dokumenti</w:t>
      </w:r>
    </w:p>
    <w:tbl>
      <w:tblPr>
        <w:tblW w:w="5007" w:type="pct"/>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8"/>
        <w:gridCol w:w="706"/>
        <w:gridCol w:w="6663"/>
        <w:gridCol w:w="7194"/>
        <w:gridCol w:w="9"/>
      </w:tblGrid>
      <w:tr w:rsidR="00CB0A11" w:rsidRPr="00905DDC" w14:paraId="7639A408" w14:textId="77777777" w:rsidTr="00DE7E38">
        <w:trPr>
          <w:gridBefore w:val="1"/>
          <w:gridAfter w:val="1"/>
          <w:wBefore w:w="3" w:type="pct"/>
          <w:wAfter w:w="3" w:type="pct"/>
          <w:trHeight w:val="113"/>
        </w:trPr>
        <w:tc>
          <w:tcPr>
            <w:tcW w:w="242" w:type="pct"/>
            <w:shd w:val="clear" w:color="auto" w:fill="C2D69B" w:themeFill="accent3" w:themeFillTint="99"/>
            <w:vAlign w:val="center"/>
          </w:tcPr>
          <w:p w14:paraId="225EEF44" w14:textId="77777777" w:rsidR="00A97C3C" w:rsidRPr="00905DDC" w:rsidRDefault="00A97C3C" w:rsidP="00DE7E38">
            <w:pPr>
              <w:jc w:val="center"/>
              <w:rPr>
                <w:b/>
              </w:rPr>
            </w:pPr>
            <w:r w:rsidRPr="00905DDC">
              <w:rPr>
                <w:b/>
              </w:rPr>
              <w:t>Nr.</w:t>
            </w:r>
          </w:p>
          <w:p w14:paraId="2F0DD082" w14:textId="77777777" w:rsidR="00A97C3C" w:rsidRPr="00905DDC" w:rsidRDefault="00A97C3C" w:rsidP="00DE7E38">
            <w:pPr>
              <w:jc w:val="center"/>
              <w:rPr>
                <w:b/>
              </w:rPr>
            </w:pPr>
            <w:r w:rsidRPr="00905DDC">
              <w:rPr>
                <w:b/>
              </w:rPr>
              <w:t>p.k.</w:t>
            </w:r>
          </w:p>
        </w:tc>
        <w:tc>
          <w:tcPr>
            <w:tcW w:w="2285" w:type="pct"/>
            <w:shd w:val="clear" w:color="auto" w:fill="C2D69B" w:themeFill="accent3" w:themeFillTint="99"/>
            <w:vAlign w:val="center"/>
          </w:tcPr>
          <w:p w14:paraId="4004C5AC" w14:textId="049497A5" w:rsidR="00A97C3C" w:rsidRPr="00905DDC" w:rsidRDefault="00491BD6" w:rsidP="00DE7E38">
            <w:pPr>
              <w:jc w:val="center"/>
              <w:rPr>
                <w:b/>
              </w:rPr>
            </w:pPr>
            <w:r w:rsidRPr="00905DDC">
              <w:rPr>
                <w:b/>
              </w:rPr>
              <w:t>Attiecināmās izmaksas (izmaksu pozīcijas)</w:t>
            </w:r>
          </w:p>
        </w:tc>
        <w:tc>
          <w:tcPr>
            <w:tcW w:w="2467" w:type="pct"/>
            <w:shd w:val="clear" w:color="auto" w:fill="C2D69B" w:themeFill="accent3" w:themeFillTint="99"/>
            <w:vAlign w:val="center"/>
          </w:tcPr>
          <w:p w14:paraId="1220250A" w14:textId="4D5255D3" w:rsidR="00A97C3C" w:rsidRPr="00905DDC" w:rsidRDefault="00491BD6" w:rsidP="00DE7E38">
            <w:pPr>
              <w:jc w:val="center"/>
              <w:rPr>
                <w:b/>
              </w:rPr>
            </w:pPr>
            <w:r w:rsidRPr="00905DDC">
              <w:rPr>
                <w:b/>
              </w:rPr>
              <w:t>Vides investīciju fondā iesniedzamie dokumenti</w:t>
            </w:r>
            <w:r w:rsidR="00EA64DA" w:rsidRPr="00905DDC">
              <w:rPr>
                <w:b/>
                <w:vertAlign w:val="superscript"/>
              </w:rPr>
              <w:t>1)</w:t>
            </w:r>
          </w:p>
        </w:tc>
      </w:tr>
      <w:tr w:rsidR="005723AA" w:rsidRPr="00905DDC" w14:paraId="386CC3C5" w14:textId="77777777" w:rsidTr="00DE7E38">
        <w:trPr>
          <w:gridBefore w:val="1"/>
          <w:gridAfter w:val="1"/>
          <w:wBefore w:w="3" w:type="pct"/>
          <w:wAfter w:w="3" w:type="pct"/>
          <w:trHeight w:val="113"/>
        </w:trPr>
        <w:tc>
          <w:tcPr>
            <w:tcW w:w="242" w:type="pct"/>
            <w:shd w:val="clear" w:color="auto" w:fill="FFFFFF"/>
          </w:tcPr>
          <w:p w14:paraId="41111F33" w14:textId="6531841B" w:rsidR="003B4245" w:rsidRPr="00905DDC" w:rsidRDefault="003B4245" w:rsidP="00DE7E38">
            <w:pPr>
              <w:jc w:val="center"/>
            </w:pPr>
            <w:r w:rsidRPr="00905DDC">
              <w:t>1.</w:t>
            </w:r>
          </w:p>
        </w:tc>
        <w:tc>
          <w:tcPr>
            <w:tcW w:w="2285" w:type="pct"/>
          </w:tcPr>
          <w:p w14:paraId="0670772C" w14:textId="6AA84E17" w:rsidR="005723AA" w:rsidRPr="00905DDC" w:rsidRDefault="004274E1" w:rsidP="00DE7E38">
            <w:pPr>
              <w:jc w:val="both"/>
            </w:pPr>
            <w:r w:rsidRPr="00905DDC">
              <w:t>J</w:t>
            </w:r>
            <w:r w:rsidR="001E644E" w:rsidRPr="00905DDC">
              <w:t>aunu M1, N1, M2 vai N2 kategorijas</w:t>
            </w:r>
            <w:r w:rsidRPr="00905DDC">
              <w:t xml:space="preserve"> elektromobiļu</w:t>
            </w:r>
            <w:bookmarkStart w:id="0" w:name="_Ref182381614"/>
            <w:r w:rsidR="00EA64DA" w:rsidRPr="00905DDC">
              <w:rPr>
                <w:vertAlign w:val="superscript"/>
              </w:rPr>
              <w:t>2)</w:t>
            </w:r>
            <w:bookmarkEnd w:id="0"/>
            <w:r w:rsidR="005723AA" w:rsidRPr="00905DDC">
              <w:t xml:space="preserve"> iegāde</w:t>
            </w:r>
            <w:r w:rsidR="00FA6414" w:rsidRPr="00905DDC">
              <w:t>.</w:t>
            </w:r>
          </w:p>
          <w:p w14:paraId="68596288" w14:textId="77777777" w:rsidR="00FA6414" w:rsidRPr="00905DDC" w:rsidRDefault="00FA6414" w:rsidP="00DE7E38">
            <w:pPr>
              <w:jc w:val="both"/>
            </w:pPr>
          </w:p>
          <w:p w14:paraId="53014051" w14:textId="572E398E" w:rsidR="005723AA" w:rsidRPr="00905DDC" w:rsidRDefault="005723AA" w:rsidP="00DE7E38">
            <w:pPr>
              <w:jc w:val="both"/>
            </w:pPr>
            <w:r w:rsidRPr="00905DDC">
              <w:t>Komunikācijas un vizuālās identitātes prasību nodrošināšanas pasākumi (</w:t>
            </w:r>
            <w:r w:rsidRPr="00905DDC">
              <w:rPr>
                <w:i/>
                <w:iCs/>
              </w:rPr>
              <w:t>ne vairāk kā 2 % no jaunu M1, N1, M2 vai N2 kategorijas elektromobiļu iegādes attiecināmajām izmaksām</w:t>
            </w:r>
            <w:r w:rsidRPr="00905DDC">
              <w:t>)</w:t>
            </w:r>
            <w:r w:rsidR="00FA6414" w:rsidRPr="00905DDC">
              <w:t>.</w:t>
            </w:r>
          </w:p>
          <w:p w14:paraId="7385E91A" w14:textId="77777777" w:rsidR="00FA6414" w:rsidRPr="00905DDC" w:rsidRDefault="00FA6414" w:rsidP="00DE7E38">
            <w:pPr>
              <w:jc w:val="both"/>
            </w:pPr>
          </w:p>
          <w:p w14:paraId="15E347BA" w14:textId="4825F71D" w:rsidR="005723AA" w:rsidRPr="00905DDC" w:rsidRDefault="005723AA" w:rsidP="00DE7E38">
            <w:pPr>
              <w:jc w:val="both"/>
            </w:pPr>
            <w:r w:rsidRPr="00905DDC">
              <w:t>Komersantiem, kas plāno saņemt atbalstu saskaņā ar regulas Nr.  651/2014 36.b pantu</w:t>
            </w:r>
            <w:r w:rsidR="00866D3C" w:rsidRPr="00905DDC">
              <w:t xml:space="preserve"> – papildu ieguldījumu izmaksas, kas vajadzīgas, lai sasniegtu augstāku vides aizsardzības līmeni nekā tas, ko attiecīgais komersants sasniegtu, nesaņemot atbalstu vides jomā (izmaksu starpība starp elektromobiļa iegādes izmaksām un jauna elektromobilim līdzvērtīgas klases ar fosilo degvielu darbināma transportlīdzekļa vidējām iegādes izmaksām).</w:t>
            </w:r>
          </w:p>
        </w:tc>
        <w:tc>
          <w:tcPr>
            <w:tcW w:w="2467" w:type="pct"/>
          </w:tcPr>
          <w:p w14:paraId="7D99DD46" w14:textId="5AB92C20" w:rsidR="005723AA" w:rsidRPr="00905DDC" w:rsidRDefault="00905DDC" w:rsidP="00DE7E38">
            <w:pPr>
              <w:pStyle w:val="ListParagraph"/>
              <w:numPr>
                <w:ilvl w:val="0"/>
                <w:numId w:val="24"/>
              </w:numPr>
              <w:tabs>
                <w:tab w:val="left" w:pos="564"/>
              </w:tabs>
              <w:spacing w:after="0" w:line="240" w:lineRule="auto"/>
              <w:ind w:left="138" w:firstLine="0"/>
              <w:jc w:val="both"/>
            </w:pPr>
            <w:r>
              <w:t>I</w:t>
            </w:r>
            <w:r w:rsidR="005723AA" w:rsidRPr="00905DDC">
              <w:t>epirkuma nolikums, uzaicinājumi un tehniskās specifikācijas;</w:t>
            </w:r>
          </w:p>
          <w:p w14:paraId="12CAB4E1" w14:textId="5F31F495" w:rsidR="005723AA" w:rsidRPr="00905DDC" w:rsidRDefault="00905DDC" w:rsidP="00DE7E38">
            <w:pPr>
              <w:pStyle w:val="ListParagraph"/>
              <w:numPr>
                <w:ilvl w:val="0"/>
                <w:numId w:val="24"/>
              </w:numPr>
              <w:tabs>
                <w:tab w:val="left" w:pos="564"/>
              </w:tabs>
              <w:spacing w:after="0" w:line="240" w:lineRule="auto"/>
              <w:ind w:left="138" w:firstLine="0"/>
              <w:jc w:val="both"/>
            </w:pPr>
            <w:r>
              <w:t>I</w:t>
            </w:r>
            <w:r w:rsidR="005723AA" w:rsidRPr="00905DDC">
              <w:t>zvēlētā pretendenta iesniegtais piedāvājums;</w:t>
            </w:r>
          </w:p>
          <w:p w14:paraId="0589C554" w14:textId="0E4D2922" w:rsidR="005723AA" w:rsidRPr="00905DDC" w:rsidRDefault="00905DDC" w:rsidP="00DE7E38">
            <w:pPr>
              <w:pStyle w:val="ListParagraph"/>
              <w:numPr>
                <w:ilvl w:val="0"/>
                <w:numId w:val="24"/>
              </w:numPr>
              <w:tabs>
                <w:tab w:val="left" w:pos="564"/>
              </w:tabs>
              <w:spacing w:after="0" w:line="240" w:lineRule="auto"/>
              <w:ind w:left="138" w:firstLine="0"/>
              <w:jc w:val="both"/>
            </w:pPr>
            <w:r>
              <w:t>V</w:t>
            </w:r>
            <w:r w:rsidR="005723AA" w:rsidRPr="00905DDC">
              <w:t>ērtēšanas ziņojums un komisijas sēžu protokoli, lēmums par iepirkuma procedūras rezultātiem;</w:t>
            </w:r>
          </w:p>
          <w:p w14:paraId="1163D3BA" w14:textId="4483AFF0" w:rsidR="005723AA" w:rsidRPr="00905DDC" w:rsidRDefault="00905DDC" w:rsidP="00DE7E38">
            <w:pPr>
              <w:pStyle w:val="ListParagraph"/>
              <w:numPr>
                <w:ilvl w:val="0"/>
                <w:numId w:val="24"/>
              </w:numPr>
              <w:tabs>
                <w:tab w:val="left" w:pos="564"/>
              </w:tabs>
              <w:spacing w:after="0" w:line="240" w:lineRule="auto"/>
              <w:ind w:left="138" w:firstLine="0"/>
              <w:jc w:val="both"/>
            </w:pPr>
            <w:r w:rsidRPr="00905DDC">
              <w:t>Ar iepirkuma uzvarētāju noslēgtais izpildes līgums</w:t>
            </w:r>
            <w:r w:rsidR="005723AA" w:rsidRPr="00905DDC">
              <w:t>;</w:t>
            </w:r>
          </w:p>
          <w:p w14:paraId="3DBE407E" w14:textId="54FDAC08" w:rsidR="005723AA" w:rsidRPr="00905DDC" w:rsidRDefault="00905DDC" w:rsidP="00DE7E38">
            <w:pPr>
              <w:pStyle w:val="ListParagraph"/>
              <w:numPr>
                <w:ilvl w:val="0"/>
                <w:numId w:val="24"/>
              </w:numPr>
              <w:tabs>
                <w:tab w:val="left" w:pos="564"/>
              </w:tabs>
              <w:spacing w:after="0" w:line="240" w:lineRule="auto"/>
              <w:ind w:left="138" w:firstLine="0"/>
              <w:jc w:val="both"/>
            </w:pPr>
            <w:r>
              <w:t>P</w:t>
            </w:r>
            <w:r w:rsidR="005723AA" w:rsidRPr="00905DDC">
              <w:t>ieņemšanas-nodošanas akt</w:t>
            </w:r>
            <w:r>
              <w:t>s</w:t>
            </w:r>
            <w:r w:rsidRPr="00905DDC">
              <w:t xml:space="preserve"> </w:t>
            </w:r>
            <w:r w:rsidRPr="00905DDC">
              <w:t>(ja attiecināms)</w:t>
            </w:r>
            <w:r w:rsidR="005723AA" w:rsidRPr="00905DDC">
              <w:t>;</w:t>
            </w:r>
          </w:p>
          <w:p w14:paraId="46BCE4E9" w14:textId="2F055669" w:rsidR="005723AA" w:rsidRDefault="00905DDC" w:rsidP="00DE7E38">
            <w:pPr>
              <w:pStyle w:val="ListParagraph"/>
              <w:numPr>
                <w:ilvl w:val="0"/>
                <w:numId w:val="24"/>
              </w:numPr>
              <w:tabs>
                <w:tab w:val="left" w:pos="564"/>
              </w:tabs>
              <w:spacing w:after="0" w:line="240" w:lineRule="auto"/>
              <w:ind w:left="138" w:firstLine="0"/>
              <w:jc w:val="both"/>
            </w:pPr>
            <w:r w:rsidRPr="00113313">
              <w:t>Darījumu apliecinošs(-i) dokuments(-i)</w:t>
            </w:r>
            <w:r w:rsidR="00EA64DA" w:rsidRPr="00905DDC">
              <w:rPr>
                <w:vertAlign w:val="superscript"/>
              </w:rPr>
              <w:t>3)</w:t>
            </w:r>
            <w:r w:rsidR="005723AA" w:rsidRPr="00905DDC">
              <w:t>;</w:t>
            </w:r>
          </w:p>
          <w:p w14:paraId="412645DE" w14:textId="5989D37F" w:rsidR="00905DDC" w:rsidRPr="00905DDC" w:rsidRDefault="00905DDC" w:rsidP="00DE7E38">
            <w:pPr>
              <w:pStyle w:val="ListParagraph"/>
              <w:numPr>
                <w:ilvl w:val="0"/>
                <w:numId w:val="24"/>
              </w:numPr>
              <w:tabs>
                <w:tab w:val="left" w:pos="564"/>
              </w:tabs>
              <w:spacing w:after="0" w:line="240" w:lineRule="auto"/>
              <w:ind w:left="138" w:firstLine="0"/>
              <w:jc w:val="both"/>
            </w:pPr>
            <w:r w:rsidRPr="00905DDC">
              <w:t>Transportlīdzekļa reģistrācijas apliecības kopiju</w:t>
            </w:r>
          </w:p>
          <w:p w14:paraId="5BB83F94" w14:textId="043E1E51" w:rsidR="00905DDC" w:rsidRPr="00905DDC" w:rsidRDefault="00905DDC" w:rsidP="00DE7E38">
            <w:pPr>
              <w:pStyle w:val="ListParagraph"/>
              <w:numPr>
                <w:ilvl w:val="0"/>
                <w:numId w:val="24"/>
              </w:numPr>
              <w:tabs>
                <w:tab w:val="left" w:pos="564"/>
              </w:tabs>
              <w:spacing w:after="0" w:line="240" w:lineRule="auto"/>
              <w:ind w:left="138" w:firstLine="0"/>
              <w:jc w:val="both"/>
            </w:pPr>
            <w:r w:rsidRPr="00905DDC">
              <w:t>Transportlīdzekļa izgatavotāja vai tā oficiālā pārstāvja izdota dokuments, kas apliecina transportlīdzekļa izcelsmi un uzskaites tehniskos datus, kopija (ja attiecināms)</w:t>
            </w:r>
          </w:p>
          <w:p w14:paraId="5499C004" w14:textId="65506384" w:rsidR="00905DDC" w:rsidRPr="00905DDC" w:rsidRDefault="00905DDC" w:rsidP="00DE7E38">
            <w:pPr>
              <w:pStyle w:val="ListParagraph"/>
              <w:numPr>
                <w:ilvl w:val="0"/>
                <w:numId w:val="24"/>
              </w:numPr>
              <w:tabs>
                <w:tab w:val="left" w:pos="564"/>
              </w:tabs>
              <w:spacing w:after="0" w:line="240" w:lineRule="auto"/>
              <w:ind w:left="138" w:firstLine="0"/>
              <w:jc w:val="both"/>
            </w:pPr>
            <w:r w:rsidRPr="00905DDC">
              <w:t>Atbilstības sertifikāt</w:t>
            </w:r>
            <w:r w:rsidR="00DE7E38">
              <w:t>s</w:t>
            </w:r>
            <w:r w:rsidRPr="00905DDC">
              <w:t xml:space="preserve"> (</w:t>
            </w:r>
            <w:r w:rsidR="00DE7E38">
              <w:t>“</w:t>
            </w:r>
            <w:r w:rsidRPr="00DE7E38">
              <w:rPr>
                <w:i/>
                <w:iCs/>
              </w:rPr>
              <w:t>Certificate of Conformity</w:t>
            </w:r>
            <w:r w:rsidR="00DE7E38">
              <w:t>”</w:t>
            </w:r>
            <w:r w:rsidRPr="00905DDC">
              <w:t xml:space="preserve"> jeb </w:t>
            </w:r>
            <w:r w:rsidR="00DE7E38">
              <w:t>“</w:t>
            </w:r>
            <w:r w:rsidRPr="00DE7E38">
              <w:rPr>
                <w:i/>
                <w:iCs/>
              </w:rPr>
              <w:t>CoC</w:t>
            </w:r>
            <w:r w:rsidR="00DE7E38">
              <w:t>”</w:t>
            </w:r>
            <w:r w:rsidRPr="00905DDC">
              <w:t>).</w:t>
            </w:r>
          </w:p>
          <w:p w14:paraId="02B71159" w14:textId="77777777" w:rsidR="005723AA" w:rsidRDefault="005723AA" w:rsidP="00DE7E38">
            <w:pPr>
              <w:pStyle w:val="ListParagraph"/>
              <w:numPr>
                <w:ilvl w:val="0"/>
                <w:numId w:val="24"/>
              </w:numPr>
              <w:tabs>
                <w:tab w:val="left" w:pos="564"/>
              </w:tabs>
              <w:spacing w:after="0" w:line="240" w:lineRule="auto"/>
              <w:ind w:left="138" w:firstLine="0"/>
              <w:jc w:val="both"/>
            </w:pPr>
            <w:r w:rsidRPr="00905DDC">
              <w:t>Projekta bankas konta apgrozījuma izdruka</w:t>
            </w:r>
            <w:r w:rsidR="00EA64DA" w:rsidRPr="00905DDC">
              <w:rPr>
                <w:vertAlign w:val="superscript"/>
              </w:rPr>
              <w:t>4)</w:t>
            </w:r>
            <w:r w:rsidRPr="00905DDC">
              <w:t xml:space="preserve"> par pārskata periodu.</w:t>
            </w:r>
          </w:p>
          <w:p w14:paraId="339D665D" w14:textId="74A5E0D3" w:rsidR="00DE7E38" w:rsidRPr="00905DDC" w:rsidRDefault="00DE7E38" w:rsidP="00DE7E38">
            <w:pPr>
              <w:pStyle w:val="ListParagraph"/>
              <w:numPr>
                <w:ilvl w:val="0"/>
                <w:numId w:val="24"/>
              </w:numPr>
              <w:tabs>
                <w:tab w:val="left" w:pos="564"/>
              </w:tabs>
              <w:spacing w:after="0" w:line="240" w:lineRule="auto"/>
              <w:ind w:left="138" w:firstLine="0"/>
              <w:jc w:val="both"/>
            </w:pPr>
            <w:r w:rsidRPr="00DE7E38">
              <w:t>Apstrādes uzņēmuma transportlīdzekļa likvidācijas sertifikāta kopija</w:t>
            </w:r>
            <w:r>
              <w:t xml:space="preserve">  un </w:t>
            </w:r>
            <w:r w:rsidRPr="00DE7E38">
              <w:t xml:space="preserve">https://e.csdd.lv/tadati/ izziņas kopija vai pēdējos divu tehnisko apskašu pamatpārbaužu protokoli </w:t>
            </w:r>
            <w:r>
              <w:t>(ja attiecināms).</w:t>
            </w:r>
          </w:p>
        </w:tc>
      </w:tr>
      <w:tr w:rsidR="005723AA" w:rsidRPr="00905DDC" w14:paraId="424DF09E" w14:textId="77777777" w:rsidTr="00DE7E38">
        <w:trPr>
          <w:gridBefore w:val="1"/>
          <w:gridAfter w:val="1"/>
          <w:wBefore w:w="3" w:type="pct"/>
          <w:wAfter w:w="3" w:type="pct"/>
          <w:trHeight w:val="113"/>
        </w:trPr>
        <w:tc>
          <w:tcPr>
            <w:tcW w:w="242" w:type="pct"/>
            <w:shd w:val="clear" w:color="auto" w:fill="FFFFFF"/>
          </w:tcPr>
          <w:p w14:paraId="11255FC9" w14:textId="1164627B" w:rsidR="005723AA" w:rsidRPr="00905DDC" w:rsidRDefault="005723AA" w:rsidP="00DE7E38">
            <w:pPr>
              <w:jc w:val="center"/>
            </w:pPr>
            <w:r w:rsidRPr="00905DDC">
              <w:t>2.</w:t>
            </w:r>
          </w:p>
        </w:tc>
        <w:tc>
          <w:tcPr>
            <w:tcW w:w="2285" w:type="pct"/>
          </w:tcPr>
          <w:p w14:paraId="35F2BB11" w14:textId="1921AAE2" w:rsidR="005723AA" w:rsidRPr="00905DDC" w:rsidRDefault="005723AA" w:rsidP="00DE7E38">
            <w:pPr>
              <w:jc w:val="both"/>
            </w:pPr>
            <w:r w:rsidRPr="00905DDC">
              <w:t>Jaunu M1, N1, M2 vai N2 kategorijas elektromobiļu</w:t>
            </w:r>
            <w:r w:rsidR="00EA64DA" w:rsidRPr="00905DDC">
              <w:rPr>
                <w:vertAlign w:val="superscript"/>
              </w:rPr>
              <w:t>2)</w:t>
            </w:r>
            <w:r w:rsidRPr="00905DDC">
              <w:t xml:space="preserve"> līzings (vismaz uz 12 mēnešiem)</w:t>
            </w:r>
            <w:r w:rsidR="00FA6414" w:rsidRPr="00905DDC">
              <w:t>.</w:t>
            </w:r>
          </w:p>
          <w:p w14:paraId="34B90B4F" w14:textId="77777777" w:rsidR="00FA6414" w:rsidRPr="00905DDC" w:rsidRDefault="00FA6414" w:rsidP="00DE7E38">
            <w:pPr>
              <w:jc w:val="both"/>
            </w:pPr>
          </w:p>
          <w:p w14:paraId="3BFF42E2" w14:textId="39F39564" w:rsidR="005723AA" w:rsidRPr="00905DDC" w:rsidRDefault="005723AA" w:rsidP="00DE7E38">
            <w:pPr>
              <w:jc w:val="both"/>
            </w:pPr>
            <w:r w:rsidRPr="00905DDC">
              <w:t>Komunikācijas un vizuālās identitātes prasību nodrošināšanas pasākumi (</w:t>
            </w:r>
            <w:r w:rsidRPr="00905DDC">
              <w:rPr>
                <w:i/>
                <w:iCs/>
              </w:rPr>
              <w:t>ne vairāk kā 2 % no jaunu M1, N1, M2 vai N2 kategorijas elektromobiļu līzinga attiecināmajām izmaksām</w:t>
            </w:r>
            <w:r w:rsidRPr="00905DDC">
              <w:t>)</w:t>
            </w:r>
            <w:r w:rsidR="00FA6414" w:rsidRPr="00905DDC">
              <w:t>.</w:t>
            </w:r>
          </w:p>
          <w:p w14:paraId="12B9E663" w14:textId="77777777" w:rsidR="00FA6414" w:rsidRPr="00905DDC" w:rsidRDefault="00FA6414" w:rsidP="00DE7E38">
            <w:pPr>
              <w:jc w:val="both"/>
            </w:pPr>
          </w:p>
          <w:p w14:paraId="61D84D40" w14:textId="00C82289" w:rsidR="005723AA" w:rsidRPr="00905DDC" w:rsidRDefault="00866D3C" w:rsidP="00DE7E38">
            <w:pPr>
              <w:jc w:val="both"/>
            </w:pPr>
            <w:r w:rsidRPr="00905DDC">
              <w:t xml:space="preserve">Komersantiem, kas plāno saņemt atbalstu saskaņā ar regulas Nr.  651/2014 36.b pantu – papildu ieguldījumu izmaksas, kas vajadzīgas, lai sasniegtu augstāku vides aizsardzības līmeni nekā tas, ko attiecīgais komersants sasniegtu, nesaņemot atbalstu vides jomā (izmaksu starpība starp elektromobiļa līzinga neto pašreizējās vērtības izmaksām un jauna elektromobilim līdzvērtīgas klases ar fosilo </w:t>
            </w:r>
            <w:r w:rsidRPr="00905DDC">
              <w:lastRenderedPageBreak/>
              <w:t>degvielu darbināma transportlīdzekļa vidējām līzinga neto pašreizējās vērtības izmaksām). Nosakot attiecināmās izmaksas, neņem vērā darbības izmaksas, kas saistītas ar elektromobiļa ekspluatāciju, tostarp enerģijas izmaksas, apdrošināšanas un apkopes izmaksas, neatkarīgi no tā, vai tās ir ietvertas līzinga līgumā.</w:t>
            </w:r>
          </w:p>
        </w:tc>
        <w:tc>
          <w:tcPr>
            <w:tcW w:w="2467" w:type="pct"/>
          </w:tcPr>
          <w:p w14:paraId="6CDEFD7E" w14:textId="77777777" w:rsidR="00DE7E38" w:rsidRPr="00905DDC" w:rsidRDefault="00DE7E38" w:rsidP="00DE7E38">
            <w:pPr>
              <w:pStyle w:val="ListParagraph"/>
              <w:numPr>
                <w:ilvl w:val="0"/>
                <w:numId w:val="25"/>
              </w:numPr>
              <w:tabs>
                <w:tab w:val="left" w:pos="564"/>
              </w:tabs>
              <w:spacing w:after="0" w:line="240" w:lineRule="auto"/>
              <w:ind w:left="138" w:firstLine="0"/>
              <w:jc w:val="both"/>
            </w:pPr>
            <w:r>
              <w:lastRenderedPageBreak/>
              <w:t>I</w:t>
            </w:r>
            <w:r w:rsidRPr="00905DDC">
              <w:t>epirkuma nolikums, uzaicinājumi un tehniskās specifikācijas;</w:t>
            </w:r>
          </w:p>
          <w:p w14:paraId="41AFC38F" w14:textId="77777777" w:rsidR="00DE7E38" w:rsidRPr="00905DDC" w:rsidRDefault="00DE7E38" w:rsidP="00DE7E38">
            <w:pPr>
              <w:pStyle w:val="ListParagraph"/>
              <w:numPr>
                <w:ilvl w:val="0"/>
                <w:numId w:val="25"/>
              </w:numPr>
              <w:tabs>
                <w:tab w:val="left" w:pos="564"/>
              </w:tabs>
              <w:spacing w:after="0" w:line="240" w:lineRule="auto"/>
              <w:ind w:left="138" w:firstLine="0"/>
              <w:jc w:val="both"/>
            </w:pPr>
            <w:r>
              <w:t>I</w:t>
            </w:r>
            <w:r w:rsidRPr="00905DDC">
              <w:t>zvēlētā pretendenta iesniegtais piedāvājums;</w:t>
            </w:r>
          </w:p>
          <w:p w14:paraId="0EEE174C" w14:textId="77777777" w:rsidR="00DE7E38" w:rsidRPr="00905DDC" w:rsidRDefault="00DE7E38" w:rsidP="00DE7E38">
            <w:pPr>
              <w:pStyle w:val="ListParagraph"/>
              <w:numPr>
                <w:ilvl w:val="0"/>
                <w:numId w:val="25"/>
              </w:numPr>
              <w:tabs>
                <w:tab w:val="left" w:pos="564"/>
              </w:tabs>
              <w:spacing w:after="0" w:line="240" w:lineRule="auto"/>
              <w:ind w:left="138" w:firstLine="0"/>
              <w:jc w:val="both"/>
            </w:pPr>
            <w:r>
              <w:t>V</w:t>
            </w:r>
            <w:r w:rsidRPr="00905DDC">
              <w:t>ērtēšanas ziņojums un komisijas sēžu protokoli, lēmums par iepirkuma procedūras rezultātiem;</w:t>
            </w:r>
          </w:p>
          <w:p w14:paraId="5F0089FC" w14:textId="77777777" w:rsidR="00DE7E38" w:rsidRDefault="00DE7E38" w:rsidP="00DE7E38">
            <w:pPr>
              <w:pStyle w:val="ListParagraph"/>
              <w:numPr>
                <w:ilvl w:val="0"/>
                <w:numId w:val="25"/>
              </w:numPr>
              <w:tabs>
                <w:tab w:val="left" w:pos="564"/>
              </w:tabs>
              <w:spacing w:after="0" w:line="240" w:lineRule="auto"/>
              <w:ind w:left="138" w:firstLine="0"/>
              <w:jc w:val="both"/>
            </w:pPr>
            <w:r w:rsidRPr="00905DDC">
              <w:t>Ar iepirkuma uzvarētāju noslēgtais izpildes līgums;</w:t>
            </w:r>
          </w:p>
          <w:p w14:paraId="0EB1F8F9" w14:textId="5BF99970" w:rsidR="00DE7E38" w:rsidRPr="00905DDC" w:rsidRDefault="00DE7E38" w:rsidP="00DE7E38">
            <w:pPr>
              <w:pStyle w:val="ListParagraph"/>
              <w:numPr>
                <w:ilvl w:val="0"/>
                <w:numId w:val="25"/>
              </w:numPr>
              <w:tabs>
                <w:tab w:val="left" w:pos="564"/>
              </w:tabs>
              <w:spacing w:after="0" w:line="240" w:lineRule="auto"/>
              <w:ind w:left="138" w:firstLine="0"/>
              <w:jc w:val="both"/>
            </w:pPr>
            <w:r w:rsidRPr="00DE7E38">
              <w:t xml:space="preserve">Līzinga līgums starp līzinga devēju un </w:t>
            </w:r>
            <w:r>
              <w:t>Finansējuma</w:t>
            </w:r>
            <w:r w:rsidRPr="00DE7E38">
              <w:t xml:space="preserve"> saņēmēju</w:t>
            </w:r>
            <w:r>
              <w:t>;</w:t>
            </w:r>
          </w:p>
          <w:p w14:paraId="32BA7E69" w14:textId="77777777" w:rsidR="00DE7E38" w:rsidRPr="00905DDC" w:rsidRDefault="00DE7E38" w:rsidP="00DE7E38">
            <w:pPr>
              <w:pStyle w:val="ListParagraph"/>
              <w:numPr>
                <w:ilvl w:val="0"/>
                <w:numId w:val="25"/>
              </w:numPr>
              <w:tabs>
                <w:tab w:val="left" w:pos="564"/>
              </w:tabs>
              <w:spacing w:after="0" w:line="240" w:lineRule="auto"/>
              <w:ind w:left="138" w:firstLine="0"/>
              <w:jc w:val="both"/>
            </w:pPr>
            <w:r>
              <w:t>P</w:t>
            </w:r>
            <w:r w:rsidRPr="00905DDC">
              <w:t>ieņemšanas-nodošanas akt</w:t>
            </w:r>
            <w:r>
              <w:t>s</w:t>
            </w:r>
            <w:r w:rsidRPr="00905DDC">
              <w:t xml:space="preserve"> (ja attiecināms);</w:t>
            </w:r>
          </w:p>
          <w:p w14:paraId="37905145" w14:textId="77777777" w:rsidR="00DE7E38" w:rsidRDefault="00DE7E38" w:rsidP="00DE7E38">
            <w:pPr>
              <w:pStyle w:val="ListParagraph"/>
              <w:numPr>
                <w:ilvl w:val="0"/>
                <w:numId w:val="25"/>
              </w:numPr>
              <w:tabs>
                <w:tab w:val="left" w:pos="564"/>
              </w:tabs>
              <w:spacing w:after="0" w:line="240" w:lineRule="auto"/>
              <w:ind w:left="138" w:firstLine="0"/>
              <w:jc w:val="both"/>
            </w:pPr>
            <w:r w:rsidRPr="00113313">
              <w:t>Darījumu apliecinošs(-i) dokuments(-i)</w:t>
            </w:r>
            <w:r w:rsidRPr="00905DDC">
              <w:rPr>
                <w:vertAlign w:val="superscript"/>
              </w:rPr>
              <w:t>3)</w:t>
            </w:r>
            <w:r w:rsidRPr="00905DDC">
              <w:t>;</w:t>
            </w:r>
          </w:p>
          <w:p w14:paraId="368A96B7" w14:textId="77777777" w:rsidR="00DE7E38" w:rsidRPr="00905DDC" w:rsidRDefault="00DE7E38" w:rsidP="00DE7E38">
            <w:pPr>
              <w:pStyle w:val="ListParagraph"/>
              <w:numPr>
                <w:ilvl w:val="0"/>
                <w:numId w:val="25"/>
              </w:numPr>
              <w:tabs>
                <w:tab w:val="left" w:pos="564"/>
              </w:tabs>
              <w:spacing w:after="0" w:line="240" w:lineRule="auto"/>
              <w:ind w:left="138" w:firstLine="0"/>
              <w:jc w:val="both"/>
            </w:pPr>
            <w:r w:rsidRPr="00905DDC">
              <w:t>Transportlīdzekļa reģistrācijas apliecības kopiju</w:t>
            </w:r>
          </w:p>
          <w:p w14:paraId="7DC4AB5D" w14:textId="77777777" w:rsidR="00DE7E38" w:rsidRPr="00905DDC" w:rsidRDefault="00DE7E38" w:rsidP="00DE7E38">
            <w:pPr>
              <w:pStyle w:val="ListParagraph"/>
              <w:numPr>
                <w:ilvl w:val="0"/>
                <w:numId w:val="25"/>
              </w:numPr>
              <w:tabs>
                <w:tab w:val="left" w:pos="564"/>
              </w:tabs>
              <w:spacing w:after="0" w:line="240" w:lineRule="auto"/>
              <w:ind w:left="138" w:firstLine="0"/>
              <w:jc w:val="both"/>
            </w:pPr>
            <w:r w:rsidRPr="00905DDC">
              <w:t>Transportlīdzekļa izgatavotāja vai tā oficiālā pārstāvja izdota dokuments, kas apliecina transportlīdzekļa izcelsmi un uzskaites tehniskos datus, kopija (ja attiecināms)</w:t>
            </w:r>
          </w:p>
          <w:p w14:paraId="7CEF1A86" w14:textId="77777777" w:rsidR="00DE7E38" w:rsidRPr="00905DDC" w:rsidRDefault="00DE7E38" w:rsidP="00DE7E38">
            <w:pPr>
              <w:pStyle w:val="ListParagraph"/>
              <w:numPr>
                <w:ilvl w:val="0"/>
                <w:numId w:val="25"/>
              </w:numPr>
              <w:tabs>
                <w:tab w:val="left" w:pos="564"/>
              </w:tabs>
              <w:spacing w:after="0" w:line="240" w:lineRule="auto"/>
              <w:ind w:left="138" w:firstLine="0"/>
              <w:jc w:val="both"/>
            </w:pPr>
            <w:r w:rsidRPr="00905DDC">
              <w:t>Atbilstības sertifikāt</w:t>
            </w:r>
            <w:r>
              <w:t>s</w:t>
            </w:r>
            <w:r w:rsidRPr="00905DDC">
              <w:t xml:space="preserve"> (</w:t>
            </w:r>
            <w:r>
              <w:t>“</w:t>
            </w:r>
            <w:r w:rsidRPr="00DE7E38">
              <w:rPr>
                <w:i/>
                <w:iCs/>
              </w:rPr>
              <w:t>Certificate of Conformity</w:t>
            </w:r>
            <w:r>
              <w:t>”</w:t>
            </w:r>
            <w:r w:rsidRPr="00905DDC">
              <w:t xml:space="preserve"> jeb </w:t>
            </w:r>
            <w:r>
              <w:t>“</w:t>
            </w:r>
            <w:r w:rsidRPr="00DE7E38">
              <w:rPr>
                <w:i/>
                <w:iCs/>
              </w:rPr>
              <w:t>CoC</w:t>
            </w:r>
            <w:r>
              <w:t>”</w:t>
            </w:r>
            <w:r w:rsidRPr="00905DDC">
              <w:t>).</w:t>
            </w:r>
          </w:p>
          <w:p w14:paraId="22366104" w14:textId="77777777" w:rsidR="005723AA" w:rsidRDefault="00DE7E38" w:rsidP="00DE7E38">
            <w:pPr>
              <w:pStyle w:val="ListParagraph"/>
              <w:numPr>
                <w:ilvl w:val="0"/>
                <w:numId w:val="25"/>
              </w:numPr>
              <w:tabs>
                <w:tab w:val="left" w:pos="564"/>
              </w:tabs>
              <w:spacing w:after="0" w:line="240" w:lineRule="auto"/>
              <w:ind w:left="138" w:firstLine="0"/>
              <w:jc w:val="both"/>
            </w:pPr>
            <w:r w:rsidRPr="00905DDC">
              <w:lastRenderedPageBreak/>
              <w:t>Projekta bankas konta apgrozījuma izdruka</w:t>
            </w:r>
            <w:r w:rsidRPr="00905DDC">
              <w:rPr>
                <w:vertAlign w:val="superscript"/>
              </w:rPr>
              <w:t>4)</w:t>
            </w:r>
            <w:r w:rsidRPr="00905DDC">
              <w:t xml:space="preserve"> par pārskata periodu.</w:t>
            </w:r>
          </w:p>
          <w:p w14:paraId="42188909" w14:textId="0C8F1CBC" w:rsidR="00DE7E38" w:rsidRPr="00905DDC" w:rsidRDefault="00DE7E38" w:rsidP="00DE7E38">
            <w:pPr>
              <w:pStyle w:val="ListParagraph"/>
              <w:numPr>
                <w:ilvl w:val="0"/>
                <w:numId w:val="25"/>
              </w:numPr>
              <w:tabs>
                <w:tab w:val="left" w:pos="564"/>
              </w:tabs>
              <w:spacing w:after="0" w:line="240" w:lineRule="auto"/>
              <w:ind w:left="138" w:firstLine="0"/>
              <w:jc w:val="both"/>
            </w:pPr>
            <w:r w:rsidRPr="00DE7E38">
              <w:t>Apstrādes uzņēmuma transportlīdzekļa likvidācijas sertifikāta kopija</w:t>
            </w:r>
            <w:r>
              <w:t xml:space="preserve"> </w:t>
            </w:r>
            <w:r>
              <w:t xml:space="preserve"> </w:t>
            </w:r>
            <w:r>
              <w:t xml:space="preserve">un </w:t>
            </w:r>
            <w:r w:rsidRPr="00DE7E38">
              <w:t>https://e.csdd.lv/tadati/ izziņas kopija vai pēdējos divu tehnisko apskašu pamatpārbaužu protokoli</w:t>
            </w:r>
            <w:r w:rsidRPr="00DE7E38">
              <w:t xml:space="preserve"> </w:t>
            </w:r>
            <w:r>
              <w:t>(ja attiecināms).</w:t>
            </w:r>
          </w:p>
        </w:tc>
      </w:tr>
      <w:tr w:rsidR="005723AA" w:rsidRPr="00905DDC" w14:paraId="5845C34B" w14:textId="77777777" w:rsidTr="00DE7E38">
        <w:trPr>
          <w:gridBefore w:val="1"/>
          <w:gridAfter w:val="1"/>
          <w:wBefore w:w="3" w:type="pct"/>
          <w:wAfter w:w="3" w:type="pct"/>
          <w:trHeight w:val="113"/>
        </w:trPr>
        <w:tc>
          <w:tcPr>
            <w:tcW w:w="242" w:type="pct"/>
            <w:shd w:val="clear" w:color="auto" w:fill="FFFFFF"/>
          </w:tcPr>
          <w:p w14:paraId="3E717878" w14:textId="766584E4" w:rsidR="005723AA" w:rsidRPr="00905DDC" w:rsidRDefault="005723AA" w:rsidP="00DE7E38">
            <w:pPr>
              <w:jc w:val="center"/>
            </w:pPr>
            <w:r w:rsidRPr="00905DDC">
              <w:lastRenderedPageBreak/>
              <w:t>3.</w:t>
            </w:r>
          </w:p>
        </w:tc>
        <w:tc>
          <w:tcPr>
            <w:tcW w:w="2285" w:type="pct"/>
          </w:tcPr>
          <w:p w14:paraId="01D08EF6" w14:textId="7E8BA8F5" w:rsidR="005723AA" w:rsidRPr="00905DDC" w:rsidRDefault="00FA6414" w:rsidP="00DE7E38">
            <w:pPr>
              <w:jc w:val="both"/>
            </w:pPr>
            <w:r w:rsidRPr="00905DDC">
              <w:t xml:space="preserve">Elektromobiļa uzlādes infrastruktūras, </w:t>
            </w:r>
            <w:r w:rsidR="005723AA" w:rsidRPr="00905DDC">
              <w:t>ar uzlādes punkta izejas jaudu, kas atbilst konkursa ietvaros iegādātā M1, N1, M2 vai N2 elektromobiļa darbības nodrošināšanai</w:t>
            </w:r>
            <w:r w:rsidRPr="00905DDC">
              <w:t>, tai skaitā uzlādes punkta, uzlādes punkta vadības un monitoringa sistēmas, izveides (iegāde, izbūve, uzstādīšana, pieslēgšana pie sadales sistēmas operatora elektrotīkla vai pie lietotāja elektrotīkla aiz elektroenerģijas komercuzskaites mēraparāta, pieslēgšana pie lokālas elektroenerģijas ražošanas iekārtas vai elektroenerģijas uzglabāšanas vienības) izmaksas</w:t>
            </w:r>
            <w:r w:rsidR="005723AA" w:rsidRPr="00905DDC">
              <w:t>.</w:t>
            </w:r>
          </w:p>
          <w:p w14:paraId="1F41996B" w14:textId="77777777" w:rsidR="00FA6414" w:rsidRPr="00905DDC" w:rsidRDefault="00FA6414" w:rsidP="00DE7E38">
            <w:pPr>
              <w:jc w:val="both"/>
            </w:pPr>
          </w:p>
          <w:p w14:paraId="2DE8AFF6" w14:textId="00531029" w:rsidR="00FA6414" w:rsidRPr="00905DDC" w:rsidRDefault="00FA6414" w:rsidP="00DE7E38">
            <w:pPr>
              <w:jc w:val="both"/>
            </w:pPr>
            <w:r w:rsidRPr="00905DDC">
              <w:t>Izmaksas, kas saistītas ar būvobjekta (elektromobiļa uzlādes punkta un ar to saistītās infrastruktūras) nodošanu ekspluatācijā saskaņā ar normatīvajiem aktiem būvniecības jomā.</w:t>
            </w:r>
          </w:p>
          <w:p w14:paraId="5A73A7B6" w14:textId="77777777" w:rsidR="00FA6414" w:rsidRPr="00905DDC" w:rsidRDefault="00FA6414" w:rsidP="00DE7E38">
            <w:pPr>
              <w:jc w:val="both"/>
            </w:pPr>
          </w:p>
          <w:p w14:paraId="0687B97C" w14:textId="7CC4042E" w:rsidR="00FA6414" w:rsidRPr="00905DDC" w:rsidRDefault="00FA6414" w:rsidP="00DE7E38">
            <w:pPr>
              <w:jc w:val="both"/>
            </w:pPr>
            <w:r w:rsidRPr="00905DDC">
              <w:t>Projekta iesniegumu pamatojošās dokumentācijas sagatavošanas izmaksas (</w:t>
            </w:r>
            <w:r w:rsidRPr="00905DDC">
              <w:rPr>
                <w:i/>
                <w:iCs/>
              </w:rPr>
              <w:t>nepārsniedz 5 % no projekta kopējām elektromobiļa uzlādes infrastruktūras izveides izmaksām</w:t>
            </w:r>
            <w:r w:rsidRPr="00905DDC">
              <w:t>):</w:t>
            </w:r>
          </w:p>
          <w:p w14:paraId="1FE38F0F" w14:textId="118DFD87" w:rsidR="00FA6414" w:rsidRPr="00905DDC" w:rsidRDefault="00FA6414" w:rsidP="00DE7E38">
            <w:pPr>
              <w:pStyle w:val="ListParagraph"/>
              <w:numPr>
                <w:ilvl w:val="0"/>
                <w:numId w:val="20"/>
              </w:numPr>
              <w:spacing w:after="0" w:line="240" w:lineRule="auto"/>
              <w:jc w:val="both"/>
            </w:pPr>
            <w:r w:rsidRPr="00905DDC">
              <w:t>būvprojekta, būvdarbu ieceres dokumentācijas, būvprojekta minimālā sastāvā, apliecinājuma kartes vai paskaidrojuma raksta izstrādei paredzētas izmaksas;</w:t>
            </w:r>
          </w:p>
          <w:p w14:paraId="77F3F116" w14:textId="08FAD0C7" w:rsidR="00FA6414" w:rsidRPr="00905DDC" w:rsidRDefault="00FA6414" w:rsidP="00DE7E38">
            <w:pPr>
              <w:pStyle w:val="ListParagraph"/>
              <w:numPr>
                <w:ilvl w:val="0"/>
                <w:numId w:val="20"/>
              </w:numPr>
              <w:spacing w:after="0" w:line="240" w:lineRule="auto"/>
              <w:jc w:val="both"/>
            </w:pPr>
            <w:r w:rsidRPr="00905DDC">
              <w:t>ekspertīzes un izpētes izmaksas, ja to veikšana ir priekšnosacījums būvprojekta, būvdarbu ieceres dokumentācijas vai būvprojekta minimālā sastāvā izstrādei; </w:t>
            </w:r>
          </w:p>
          <w:p w14:paraId="6474D380" w14:textId="6E5F503A" w:rsidR="00FA6414" w:rsidRPr="00905DDC" w:rsidRDefault="00FA6414" w:rsidP="00DE7E38">
            <w:pPr>
              <w:pStyle w:val="ListParagraph"/>
              <w:numPr>
                <w:ilvl w:val="0"/>
                <w:numId w:val="20"/>
              </w:numPr>
              <w:spacing w:after="0" w:line="240" w:lineRule="auto"/>
              <w:jc w:val="both"/>
            </w:pPr>
            <w:r w:rsidRPr="00905DDC">
              <w:t>normatīvajos aktos par ietekmes uz vidi novērtējumu noteikto dokumentu sagatavošanas izmaksas.</w:t>
            </w:r>
          </w:p>
          <w:p w14:paraId="5CD49DD6" w14:textId="77777777" w:rsidR="00FA6414" w:rsidRPr="00905DDC" w:rsidRDefault="00FA6414" w:rsidP="00DE7E38">
            <w:pPr>
              <w:jc w:val="both"/>
            </w:pPr>
          </w:p>
          <w:p w14:paraId="70E2AEBD" w14:textId="24069C64" w:rsidR="00FA6414" w:rsidRPr="00905DDC" w:rsidRDefault="00FA6414" w:rsidP="00DE7E38">
            <w:pPr>
              <w:jc w:val="both"/>
            </w:pPr>
            <w:r w:rsidRPr="00905DDC">
              <w:t>Autoruzraudzības un būvuzraudzības izmaksas.</w:t>
            </w:r>
          </w:p>
          <w:p w14:paraId="3FD1C448" w14:textId="77777777" w:rsidR="00FA6414" w:rsidRPr="00905DDC" w:rsidRDefault="00FA6414" w:rsidP="00DE7E38">
            <w:pPr>
              <w:jc w:val="both"/>
            </w:pPr>
          </w:p>
          <w:p w14:paraId="22276F4F" w14:textId="799FC60B" w:rsidR="005723AA" w:rsidRPr="00905DDC" w:rsidRDefault="005723AA" w:rsidP="00DE7E38">
            <w:pPr>
              <w:jc w:val="both"/>
            </w:pPr>
            <w:r w:rsidRPr="00905DDC">
              <w:t>Komunikācijas un vizuālās identitātes prasību nodrošināšanas pasākumi (</w:t>
            </w:r>
            <w:r w:rsidRPr="00905DDC">
              <w:rPr>
                <w:i/>
                <w:iCs/>
              </w:rPr>
              <w:t>ne vairāk kā 2 % no elektromobiļu uzlādes infrastruktūras izveides attiecināmajām izmaksām</w:t>
            </w:r>
            <w:r w:rsidRPr="00905DDC">
              <w:t>)</w:t>
            </w:r>
          </w:p>
        </w:tc>
        <w:tc>
          <w:tcPr>
            <w:tcW w:w="2467" w:type="pct"/>
          </w:tcPr>
          <w:p w14:paraId="2ADA2ED7" w14:textId="77777777" w:rsidR="00DE7E38" w:rsidRPr="00905DDC" w:rsidRDefault="00DE7E38" w:rsidP="00DE7E38">
            <w:pPr>
              <w:pStyle w:val="ListParagraph"/>
              <w:numPr>
                <w:ilvl w:val="0"/>
                <w:numId w:val="26"/>
              </w:numPr>
              <w:tabs>
                <w:tab w:val="left" w:pos="564"/>
              </w:tabs>
              <w:spacing w:after="0" w:line="240" w:lineRule="auto"/>
              <w:ind w:left="138" w:firstLine="0"/>
              <w:jc w:val="both"/>
            </w:pPr>
            <w:r>
              <w:lastRenderedPageBreak/>
              <w:t>I</w:t>
            </w:r>
            <w:r w:rsidRPr="00905DDC">
              <w:t>epirkuma nolikums, uzaicinājumi un tehniskās specifikācijas;</w:t>
            </w:r>
          </w:p>
          <w:p w14:paraId="0F43B285" w14:textId="77777777" w:rsidR="00DE7E38" w:rsidRPr="00905DDC" w:rsidRDefault="00DE7E38" w:rsidP="00DE7E38">
            <w:pPr>
              <w:pStyle w:val="ListParagraph"/>
              <w:numPr>
                <w:ilvl w:val="0"/>
                <w:numId w:val="26"/>
              </w:numPr>
              <w:tabs>
                <w:tab w:val="left" w:pos="564"/>
              </w:tabs>
              <w:spacing w:after="0" w:line="240" w:lineRule="auto"/>
              <w:ind w:left="138" w:firstLine="0"/>
              <w:jc w:val="both"/>
            </w:pPr>
            <w:r>
              <w:t>I</w:t>
            </w:r>
            <w:r w:rsidRPr="00905DDC">
              <w:t>zvēlētā pretendenta iesniegtais piedāvājums;</w:t>
            </w:r>
          </w:p>
          <w:p w14:paraId="33244593" w14:textId="77777777" w:rsidR="00DE7E38" w:rsidRPr="00905DDC" w:rsidRDefault="00DE7E38" w:rsidP="00DE7E38">
            <w:pPr>
              <w:pStyle w:val="ListParagraph"/>
              <w:numPr>
                <w:ilvl w:val="0"/>
                <w:numId w:val="26"/>
              </w:numPr>
              <w:tabs>
                <w:tab w:val="left" w:pos="564"/>
              </w:tabs>
              <w:spacing w:after="0" w:line="240" w:lineRule="auto"/>
              <w:ind w:left="138" w:firstLine="0"/>
              <w:jc w:val="both"/>
            </w:pPr>
            <w:r>
              <w:t>V</w:t>
            </w:r>
            <w:r w:rsidRPr="00905DDC">
              <w:t>ērtēšanas ziņojums un komisijas sēžu protokoli, lēmums par iepirkuma procedūras rezultātiem;</w:t>
            </w:r>
          </w:p>
          <w:p w14:paraId="118DE728" w14:textId="77777777" w:rsidR="00DE7E38" w:rsidRDefault="00DE7E38" w:rsidP="00DE7E38">
            <w:pPr>
              <w:pStyle w:val="ListParagraph"/>
              <w:numPr>
                <w:ilvl w:val="0"/>
                <w:numId w:val="26"/>
              </w:numPr>
              <w:tabs>
                <w:tab w:val="left" w:pos="564"/>
              </w:tabs>
              <w:spacing w:after="0" w:line="240" w:lineRule="auto"/>
              <w:ind w:left="138" w:firstLine="0"/>
              <w:jc w:val="both"/>
            </w:pPr>
            <w:r w:rsidRPr="00905DDC">
              <w:t>Ar iepirkuma uzvarētāju noslēgtais izpildes līgums;</w:t>
            </w:r>
          </w:p>
          <w:p w14:paraId="2F534E00" w14:textId="77777777" w:rsidR="00DE7E38" w:rsidRDefault="00DE7E38" w:rsidP="00DE7E38">
            <w:pPr>
              <w:pStyle w:val="ListParagraph"/>
              <w:numPr>
                <w:ilvl w:val="0"/>
                <w:numId w:val="26"/>
              </w:numPr>
              <w:tabs>
                <w:tab w:val="left" w:pos="564"/>
              </w:tabs>
              <w:spacing w:after="0" w:line="240" w:lineRule="auto"/>
              <w:ind w:left="138" w:firstLine="0"/>
              <w:jc w:val="both"/>
            </w:pPr>
            <w:r w:rsidRPr="00DE7E38">
              <w:t>Pieņemšanas-nodošanas akti (forma Nr. 2, forma Nr. 3, ja attiecināms);</w:t>
            </w:r>
          </w:p>
          <w:p w14:paraId="2E29458A" w14:textId="119F8238" w:rsidR="00DE7E38" w:rsidRDefault="00DE7E38" w:rsidP="00DE7E38">
            <w:pPr>
              <w:pStyle w:val="ListParagraph"/>
              <w:numPr>
                <w:ilvl w:val="0"/>
                <w:numId w:val="26"/>
              </w:numPr>
              <w:tabs>
                <w:tab w:val="left" w:pos="564"/>
              </w:tabs>
              <w:spacing w:after="0" w:line="240" w:lineRule="auto"/>
              <w:ind w:left="138" w:firstLine="0"/>
              <w:jc w:val="both"/>
            </w:pPr>
            <w:r w:rsidRPr="00113313">
              <w:t>Darījumu apliecinošs(-i) dokuments(-i)</w:t>
            </w:r>
            <w:r w:rsidRPr="00DE7E38">
              <w:rPr>
                <w:vertAlign w:val="superscript"/>
              </w:rPr>
              <w:t>3)</w:t>
            </w:r>
            <w:r w:rsidRPr="00905DDC">
              <w:t>;</w:t>
            </w:r>
          </w:p>
          <w:p w14:paraId="5DE5E9C3" w14:textId="404BF59D" w:rsidR="00DE7E38" w:rsidRPr="00905DDC" w:rsidRDefault="00DE7E38" w:rsidP="00DE7E38">
            <w:pPr>
              <w:pStyle w:val="ListParagraph"/>
              <w:numPr>
                <w:ilvl w:val="0"/>
                <w:numId w:val="26"/>
              </w:numPr>
              <w:tabs>
                <w:tab w:val="left" w:pos="564"/>
              </w:tabs>
              <w:spacing w:after="0" w:line="240" w:lineRule="auto"/>
              <w:ind w:left="138" w:firstLine="0"/>
              <w:jc w:val="both"/>
            </w:pPr>
            <w:r w:rsidRPr="00905DDC">
              <w:t>Projekta bankas konta apgrozījuma izdruka</w:t>
            </w:r>
            <w:r w:rsidRPr="00905DDC">
              <w:rPr>
                <w:vertAlign w:val="superscript"/>
              </w:rPr>
              <w:t>4)</w:t>
            </w:r>
            <w:r w:rsidRPr="00905DDC">
              <w:t xml:space="preserve"> par pārskata periodu.</w:t>
            </w:r>
          </w:p>
        </w:tc>
      </w:tr>
      <w:tr w:rsidR="00DE7E38" w:rsidRPr="00905DDC" w14:paraId="563C423D" w14:textId="77777777" w:rsidTr="00DE7E38">
        <w:trPr>
          <w:gridBefore w:val="1"/>
          <w:gridAfter w:val="1"/>
          <w:wBefore w:w="3" w:type="pct"/>
          <w:wAfter w:w="3" w:type="pct"/>
          <w:trHeight w:val="113"/>
        </w:trPr>
        <w:tc>
          <w:tcPr>
            <w:tcW w:w="242" w:type="pct"/>
            <w:shd w:val="clear" w:color="auto" w:fill="FFFFFF"/>
          </w:tcPr>
          <w:p w14:paraId="386B6195" w14:textId="5F484CD3" w:rsidR="00DE7E38" w:rsidRPr="00905DDC" w:rsidRDefault="00DE7E38" w:rsidP="00DE7E38">
            <w:pPr>
              <w:jc w:val="center"/>
            </w:pPr>
            <w:r w:rsidRPr="00905DDC">
              <w:t>4.</w:t>
            </w:r>
          </w:p>
        </w:tc>
        <w:tc>
          <w:tcPr>
            <w:tcW w:w="2285" w:type="pct"/>
          </w:tcPr>
          <w:p w14:paraId="2BFE296E" w14:textId="7C3ADA0F" w:rsidR="00DE7E38" w:rsidRPr="00905DDC" w:rsidRDefault="00DE7E38" w:rsidP="00DE7E38">
            <w:pPr>
              <w:jc w:val="both"/>
            </w:pPr>
            <w:r w:rsidRPr="00905DDC">
              <w:t>Inženiertehnisko sistēmu un iekārtu izveidošana, kuras ražo vai uzkrāj enerģiju no atjaunīgajiem energoresursiem – saules vai vēja enerģijas, un saražotā elektroenerģija 100 % apmērā tiek izmantota projekta ietvaros ierīkotā elektromobiļu uzlādes punkta darbības nodrošināšanai un uzlādes punkta teritorijas funkciju (piemēram, apgaismojuma) nodrošināšanai, izbūves, uzstādīšanas un pieslēguma elektromobiļa uzlādes punktam izmaksas.</w:t>
            </w:r>
          </w:p>
          <w:p w14:paraId="4718F7F7" w14:textId="77777777" w:rsidR="00DE7E38" w:rsidRPr="00905DDC" w:rsidRDefault="00DE7E38" w:rsidP="00DE7E38">
            <w:pPr>
              <w:jc w:val="both"/>
            </w:pPr>
          </w:p>
          <w:p w14:paraId="36782EF4" w14:textId="7624D86C" w:rsidR="00DE7E38" w:rsidRPr="00905DDC" w:rsidRDefault="00DE7E38" w:rsidP="00DE7E38">
            <w:pPr>
              <w:jc w:val="both"/>
            </w:pPr>
            <w:r w:rsidRPr="00905DDC">
              <w:t>Inženiertehnisko sistēmu un iekārtu, kas uzkrāj (akumulē) no atjaunīgajiem energoresursiem saražoto elektroenerģiju, iegādes, izbūves, uzstādīšanas un pieslēguma elektromobiļa uzlādes punktam izmaksas.</w:t>
            </w:r>
          </w:p>
          <w:p w14:paraId="6CBB1968" w14:textId="77777777" w:rsidR="00DE7E38" w:rsidRPr="00905DDC" w:rsidRDefault="00DE7E38" w:rsidP="00DE7E38">
            <w:pPr>
              <w:jc w:val="both"/>
            </w:pPr>
          </w:p>
          <w:p w14:paraId="7F6BDEF9" w14:textId="77777777" w:rsidR="00DE7E38" w:rsidRPr="00905DDC" w:rsidRDefault="00DE7E38" w:rsidP="00DE7E38">
            <w:pPr>
              <w:jc w:val="both"/>
            </w:pPr>
            <w:r w:rsidRPr="00905DDC">
              <w:t>Projekta iesniegumu pamatojošās dokumentācijas sagatavošanas izmaksas (</w:t>
            </w:r>
            <w:r w:rsidRPr="00905DDC">
              <w:rPr>
                <w:i/>
                <w:iCs/>
              </w:rPr>
              <w:t>nepārsniedz 5 % no projekta kopējām elektromobiļa uzlādes infrastruktūras izveides izmaksām</w:t>
            </w:r>
            <w:r w:rsidRPr="00905DDC">
              <w:t>):</w:t>
            </w:r>
          </w:p>
          <w:p w14:paraId="6855E63F" w14:textId="77777777" w:rsidR="00DE7E38" w:rsidRPr="00905DDC" w:rsidRDefault="00DE7E38" w:rsidP="00DE7E38">
            <w:pPr>
              <w:pStyle w:val="ListParagraph"/>
              <w:numPr>
                <w:ilvl w:val="0"/>
                <w:numId w:val="20"/>
              </w:numPr>
              <w:spacing w:after="0" w:line="240" w:lineRule="auto"/>
              <w:jc w:val="both"/>
            </w:pPr>
            <w:r w:rsidRPr="00905DDC">
              <w:t>būvprojekta, būvdarbu ieceres dokumentācijas, būvprojekta minimālā sastāvā, apliecinājuma kartes vai paskaidrojuma raksta izstrādei paredzētas izmaksas;</w:t>
            </w:r>
          </w:p>
          <w:p w14:paraId="426EFF64" w14:textId="77777777" w:rsidR="00DE7E38" w:rsidRPr="00905DDC" w:rsidRDefault="00DE7E38" w:rsidP="00DE7E38">
            <w:pPr>
              <w:pStyle w:val="ListParagraph"/>
              <w:numPr>
                <w:ilvl w:val="0"/>
                <w:numId w:val="20"/>
              </w:numPr>
              <w:spacing w:after="0" w:line="240" w:lineRule="auto"/>
              <w:jc w:val="both"/>
            </w:pPr>
            <w:r w:rsidRPr="00905DDC">
              <w:t>ekspertīzes un izpētes izmaksas, ja to veikšana ir priekšnosacījums būvprojekta, būvdarbu ieceres dokumentācijas vai būvprojekta minimālā sastāvā izstrādei; </w:t>
            </w:r>
          </w:p>
          <w:p w14:paraId="37486683" w14:textId="77777777" w:rsidR="00DE7E38" w:rsidRPr="00905DDC" w:rsidRDefault="00DE7E38" w:rsidP="00DE7E38">
            <w:pPr>
              <w:pStyle w:val="ListParagraph"/>
              <w:numPr>
                <w:ilvl w:val="0"/>
                <w:numId w:val="20"/>
              </w:numPr>
              <w:spacing w:after="0" w:line="240" w:lineRule="auto"/>
              <w:jc w:val="both"/>
            </w:pPr>
            <w:r w:rsidRPr="00905DDC">
              <w:t>normatīvajos aktos par ietekmes uz vidi novērtējumu noteikto dokumentu sagatavošanas izmaksas;</w:t>
            </w:r>
          </w:p>
          <w:p w14:paraId="56FABABA" w14:textId="77777777" w:rsidR="00DE7E38" w:rsidRPr="00905DDC" w:rsidRDefault="00DE7E38" w:rsidP="00DE7E38">
            <w:pPr>
              <w:jc w:val="both"/>
            </w:pPr>
          </w:p>
          <w:p w14:paraId="6F91787E" w14:textId="60CA9674" w:rsidR="00DE7E38" w:rsidRPr="00905DDC" w:rsidRDefault="00DE7E38" w:rsidP="00DE7E38">
            <w:pPr>
              <w:jc w:val="both"/>
            </w:pPr>
            <w:r w:rsidRPr="00905DDC">
              <w:t>Autoruzraudzības un būvuzraudzības izmaksas.</w:t>
            </w:r>
          </w:p>
          <w:p w14:paraId="571C9ACF" w14:textId="77777777" w:rsidR="00DE7E38" w:rsidRPr="00905DDC" w:rsidRDefault="00DE7E38" w:rsidP="00DE7E38">
            <w:pPr>
              <w:jc w:val="both"/>
            </w:pPr>
          </w:p>
          <w:p w14:paraId="0A8B5757" w14:textId="5456AA98" w:rsidR="00DE7E38" w:rsidRPr="00905DDC" w:rsidRDefault="00DE7E38" w:rsidP="00DE7E38">
            <w:pPr>
              <w:jc w:val="both"/>
            </w:pPr>
            <w:r w:rsidRPr="00905DDC">
              <w:lastRenderedPageBreak/>
              <w:t>Komunikācijas un vizuālās identitātes prasību nodrošināšanas pasākumi (</w:t>
            </w:r>
            <w:r w:rsidRPr="00905DDC">
              <w:rPr>
                <w:i/>
                <w:iCs/>
              </w:rPr>
              <w:t>ne vairāk kā 2 % no inženiertehnisko sistēmu un iekārtu izveidošana, kuras ražo vai uzkrāj enerģiju no atjaunīgajiem energoresursiem izveides attiecināmajām izmaksām</w:t>
            </w:r>
            <w:r w:rsidRPr="00905DDC">
              <w:t>)</w:t>
            </w:r>
          </w:p>
        </w:tc>
        <w:tc>
          <w:tcPr>
            <w:tcW w:w="2467" w:type="pct"/>
          </w:tcPr>
          <w:p w14:paraId="00D4136B" w14:textId="77777777" w:rsidR="00DE7E38" w:rsidRPr="00905DDC" w:rsidRDefault="00DE7E38" w:rsidP="00DE7E38">
            <w:pPr>
              <w:pStyle w:val="ListParagraph"/>
              <w:numPr>
                <w:ilvl w:val="0"/>
                <w:numId w:val="28"/>
              </w:numPr>
              <w:tabs>
                <w:tab w:val="left" w:pos="564"/>
              </w:tabs>
              <w:spacing w:after="0" w:line="240" w:lineRule="auto"/>
              <w:ind w:left="138" w:firstLine="0"/>
              <w:jc w:val="both"/>
            </w:pPr>
            <w:r>
              <w:lastRenderedPageBreak/>
              <w:t>I</w:t>
            </w:r>
            <w:r w:rsidRPr="00905DDC">
              <w:t>epirkuma nolikums, uzaicinājumi un tehniskās specifikācijas;</w:t>
            </w:r>
          </w:p>
          <w:p w14:paraId="62F9ADAF" w14:textId="77777777" w:rsidR="00DE7E38" w:rsidRPr="00905DDC" w:rsidRDefault="00DE7E38" w:rsidP="00DE7E38">
            <w:pPr>
              <w:pStyle w:val="ListParagraph"/>
              <w:numPr>
                <w:ilvl w:val="0"/>
                <w:numId w:val="28"/>
              </w:numPr>
              <w:tabs>
                <w:tab w:val="left" w:pos="564"/>
              </w:tabs>
              <w:spacing w:after="0" w:line="240" w:lineRule="auto"/>
              <w:ind w:left="138" w:firstLine="0"/>
              <w:jc w:val="both"/>
            </w:pPr>
            <w:r>
              <w:t>I</w:t>
            </w:r>
            <w:r w:rsidRPr="00905DDC">
              <w:t>zvēlētā pretendenta iesniegtais piedāvājums;</w:t>
            </w:r>
          </w:p>
          <w:p w14:paraId="1F890D29" w14:textId="77777777" w:rsidR="00DE7E38" w:rsidRPr="00905DDC" w:rsidRDefault="00DE7E38" w:rsidP="00DE7E38">
            <w:pPr>
              <w:pStyle w:val="ListParagraph"/>
              <w:numPr>
                <w:ilvl w:val="0"/>
                <w:numId w:val="28"/>
              </w:numPr>
              <w:tabs>
                <w:tab w:val="left" w:pos="564"/>
              </w:tabs>
              <w:spacing w:after="0" w:line="240" w:lineRule="auto"/>
              <w:ind w:left="138" w:firstLine="0"/>
              <w:jc w:val="both"/>
            </w:pPr>
            <w:r>
              <w:t>V</w:t>
            </w:r>
            <w:r w:rsidRPr="00905DDC">
              <w:t>ērtēšanas ziņojums un komisijas sēžu protokoli, lēmums par iepirkuma procedūras rezultātiem;</w:t>
            </w:r>
          </w:p>
          <w:p w14:paraId="67CAA320" w14:textId="77777777" w:rsidR="00DE7E38" w:rsidRDefault="00DE7E38" w:rsidP="00DE7E38">
            <w:pPr>
              <w:pStyle w:val="ListParagraph"/>
              <w:numPr>
                <w:ilvl w:val="0"/>
                <w:numId w:val="28"/>
              </w:numPr>
              <w:tabs>
                <w:tab w:val="left" w:pos="564"/>
              </w:tabs>
              <w:spacing w:after="0" w:line="240" w:lineRule="auto"/>
              <w:ind w:left="138" w:firstLine="0"/>
              <w:jc w:val="both"/>
            </w:pPr>
            <w:r w:rsidRPr="00905DDC">
              <w:t>Ar iepirkuma uzvarētāju noslēgtais izpildes līgums;</w:t>
            </w:r>
          </w:p>
          <w:p w14:paraId="63E0FC88" w14:textId="77777777" w:rsidR="00DE7E38" w:rsidRDefault="00DE7E38" w:rsidP="00DE7E38">
            <w:pPr>
              <w:pStyle w:val="ListParagraph"/>
              <w:numPr>
                <w:ilvl w:val="0"/>
                <w:numId w:val="28"/>
              </w:numPr>
              <w:tabs>
                <w:tab w:val="left" w:pos="564"/>
              </w:tabs>
              <w:spacing w:after="0" w:line="240" w:lineRule="auto"/>
              <w:ind w:left="138" w:firstLine="0"/>
              <w:jc w:val="both"/>
            </w:pPr>
            <w:r w:rsidRPr="00DE7E38">
              <w:t>Pieņemšanas-nodošanas akti (forma Nr. 2, forma Nr. 3, ja attiecināms);</w:t>
            </w:r>
          </w:p>
          <w:p w14:paraId="4944DB8D" w14:textId="77777777" w:rsidR="00DE7E38" w:rsidRDefault="00DE7E38" w:rsidP="00DE7E38">
            <w:pPr>
              <w:pStyle w:val="ListParagraph"/>
              <w:numPr>
                <w:ilvl w:val="0"/>
                <w:numId w:val="28"/>
              </w:numPr>
              <w:tabs>
                <w:tab w:val="left" w:pos="564"/>
              </w:tabs>
              <w:spacing w:after="0" w:line="240" w:lineRule="auto"/>
              <w:ind w:left="138" w:firstLine="0"/>
              <w:jc w:val="both"/>
            </w:pPr>
            <w:r w:rsidRPr="00113313">
              <w:t>Darījumu apliecinošs(-i) dokuments(-i)</w:t>
            </w:r>
            <w:r w:rsidRPr="00DE7E38">
              <w:rPr>
                <w:vertAlign w:val="superscript"/>
              </w:rPr>
              <w:t>3)</w:t>
            </w:r>
            <w:r w:rsidRPr="00905DDC">
              <w:t>;</w:t>
            </w:r>
          </w:p>
          <w:p w14:paraId="1EA25FA7" w14:textId="71A78A82" w:rsidR="00DE7E38" w:rsidRPr="00905DDC" w:rsidRDefault="00DE7E38" w:rsidP="00DE7E38">
            <w:pPr>
              <w:pStyle w:val="ListParagraph"/>
              <w:numPr>
                <w:ilvl w:val="0"/>
                <w:numId w:val="28"/>
              </w:numPr>
              <w:tabs>
                <w:tab w:val="left" w:pos="564"/>
              </w:tabs>
              <w:spacing w:after="0" w:line="240" w:lineRule="auto"/>
              <w:ind w:left="138" w:firstLine="0"/>
              <w:jc w:val="both"/>
            </w:pPr>
            <w:r w:rsidRPr="00905DDC">
              <w:t>Projekta bankas konta apgrozījuma izdruka</w:t>
            </w:r>
            <w:r w:rsidRPr="00905DDC">
              <w:rPr>
                <w:vertAlign w:val="superscript"/>
              </w:rPr>
              <w:t>4)</w:t>
            </w:r>
            <w:r w:rsidRPr="00905DDC">
              <w:t xml:space="preserve"> par pārskata periodu.</w:t>
            </w:r>
          </w:p>
        </w:tc>
      </w:tr>
      <w:tr w:rsidR="00DE7E38" w:rsidRPr="00905DDC" w14:paraId="47CD3FFC" w14:textId="77777777" w:rsidTr="00DE7E38">
        <w:trPr>
          <w:trHeight w:val="113"/>
        </w:trPr>
        <w:tc>
          <w:tcPr>
            <w:tcW w:w="245" w:type="pct"/>
            <w:gridSpan w:val="2"/>
            <w:shd w:val="clear" w:color="auto" w:fill="FFFFFF"/>
          </w:tcPr>
          <w:p w14:paraId="365477BE" w14:textId="7AA5F888" w:rsidR="00DE7E38" w:rsidRPr="00905DDC" w:rsidRDefault="00DE7E38" w:rsidP="00DE7E38">
            <w:pPr>
              <w:jc w:val="center"/>
            </w:pPr>
            <w:r w:rsidRPr="00905DDC">
              <w:t>5.</w:t>
            </w:r>
          </w:p>
        </w:tc>
        <w:tc>
          <w:tcPr>
            <w:tcW w:w="2285" w:type="pct"/>
          </w:tcPr>
          <w:p w14:paraId="618285EB" w14:textId="4B1AC09F" w:rsidR="00DE7E38" w:rsidRPr="00905DDC" w:rsidRDefault="00DE7E38" w:rsidP="00DE7E38">
            <w:pPr>
              <w:jc w:val="both"/>
            </w:pPr>
            <w:r w:rsidRPr="00905DDC">
              <w:t>Pievienotās vērtības nodokļa maksājumi, ja tie nav atgūstami no valsts budžeta</w:t>
            </w:r>
          </w:p>
        </w:tc>
        <w:tc>
          <w:tcPr>
            <w:tcW w:w="2470" w:type="pct"/>
            <w:gridSpan w:val="2"/>
          </w:tcPr>
          <w:p w14:paraId="675876AA" w14:textId="058EB851" w:rsidR="00DE7E38" w:rsidRPr="00905DDC" w:rsidRDefault="00DE7E38" w:rsidP="00DE7E38">
            <w:pPr>
              <w:jc w:val="both"/>
            </w:pPr>
            <w:r w:rsidRPr="00905DDC">
              <w:t>Pievienotās vērtības nodokļa (turpmāk – PVN) deklarācija</w:t>
            </w:r>
            <w:r w:rsidRPr="00905DDC">
              <w:rPr>
                <w:vertAlign w:val="superscript"/>
              </w:rPr>
              <w:t>5)</w:t>
            </w:r>
            <w:r w:rsidRPr="00905DDC">
              <w:t xml:space="preserve">, ja PVN maksājumi ir iekļauti projekta attiecināmajās izmaksās un PVN tiek maksāts saskaņā ar </w:t>
            </w:r>
            <w:hyperlink r:id="rId8" w:anchor="p142" w:history="1">
              <w:r w:rsidRPr="00905DDC">
                <w:rPr>
                  <w:rStyle w:val="Hyperlink"/>
                </w:rPr>
                <w:t>Pievienotās vērtības nodokļa likuma 142. pantu</w:t>
              </w:r>
            </w:hyperlink>
          </w:p>
        </w:tc>
      </w:tr>
    </w:tbl>
    <w:p w14:paraId="1279A07B" w14:textId="77777777" w:rsidR="00491BD6" w:rsidRPr="005946CB" w:rsidRDefault="00491BD6" w:rsidP="00491BD6">
      <w:pPr>
        <w:pStyle w:val="ListParagraph"/>
        <w:ind w:left="0"/>
        <w:jc w:val="both"/>
        <w:rPr>
          <w:sz w:val="16"/>
          <w:szCs w:val="16"/>
        </w:rPr>
      </w:pPr>
    </w:p>
    <w:p w14:paraId="0BD2B02B" w14:textId="29741B90" w:rsidR="00EA64DA" w:rsidRPr="00905DDC" w:rsidRDefault="00EA64DA" w:rsidP="00E313DB">
      <w:pPr>
        <w:pStyle w:val="ListParagraph"/>
        <w:ind w:left="0"/>
        <w:jc w:val="both"/>
        <w:rPr>
          <w:b/>
          <w:bCs/>
          <w:sz w:val="20"/>
          <w:szCs w:val="20"/>
        </w:rPr>
      </w:pPr>
      <w:r w:rsidRPr="00905DDC">
        <w:rPr>
          <w:b/>
          <w:bCs/>
          <w:sz w:val="20"/>
          <w:szCs w:val="20"/>
        </w:rPr>
        <w:t>Piezīmes:</w:t>
      </w:r>
    </w:p>
    <w:p w14:paraId="53FBE3AA" w14:textId="5364F760" w:rsidR="00EA64DA" w:rsidRDefault="00EA64DA" w:rsidP="00EA64DA">
      <w:pPr>
        <w:pStyle w:val="ListParagraph"/>
        <w:numPr>
          <w:ilvl w:val="0"/>
          <w:numId w:val="22"/>
        </w:numPr>
        <w:jc w:val="both"/>
        <w:rPr>
          <w:sz w:val="20"/>
          <w:szCs w:val="20"/>
        </w:rPr>
      </w:pPr>
      <w:r w:rsidRPr="00EA64DA">
        <w:rPr>
          <w:sz w:val="20"/>
          <w:szCs w:val="20"/>
        </w:rPr>
        <w:t>Vides investīciju fondā iesniedz Attiecināmo izmaksu apliecinošo dokumentu kopijas, nevis oriģinālus vai norāda saiti uz tīmekļa vietni, kur ir pieejami dokumenti (publiski vai nosūtot pieejas datus)</w:t>
      </w:r>
      <w:r w:rsidR="00905DDC">
        <w:rPr>
          <w:sz w:val="20"/>
          <w:szCs w:val="20"/>
        </w:rPr>
        <w:t>.</w:t>
      </w:r>
    </w:p>
    <w:p w14:paraId="2F374079" w14:textId="0EF8B5E7" w:rsidR="00EA64DA" w:rsidRDefault="00905DDC" w:rsidP="00EA64DA">
      <w:pPr>
        <w:pStyle w:val="ListParagraph"/>
        <w:numPr>
          <w:ilvl w:val="0"/>
          <w:numId w:val="22"/>
        </w:numPr>
        <w:jc w:val="both"/>
        <w:rPr>
          <w:sz w:val="20"/>
          <w:szCs w:val="20"/>
        </w:rPr>
      </w:pPr>
      <w:r>
        <w:rPr>
          <w:sz w:val="20"/>
          <w:szCs w:val="20"/>
        </w:rPr>
        <w:t>E</w:t>
      </w:r>
      <w:r w:rsidR="00EA64DA" w:rsidRPr="00EA64DA">
        <w:rPr>
          <w:sz w:val="20"/>
          <w:szCs w:val="20"/>
        </w:rPr>
        <w:t>lektromobiļi atbilst Eiropas Parlamenta un Padomes 2018. gada 30. maija Regulas (ES) Nr. 2018/858 par mehānisko transportlīdzekļu un to piekabju, kā arī tādiem transportlīdzekļiem paredzētu sistēmu, sastāvdaļu un atsevišķu tehnisku vienību apstiprināšanu un tirgus uzraudzību un ar ko groza Regulas (EK) Nr. 715/2007 un (EK) Nr.</w:t>
      </w:r>
      <w:r>
        <w:rPr>
          <w:sz w:val="20"/>
          <w:szCs w:val="20"/>
        </w:rPr>
        <w:t> </w:t>
      </w:r>
      <w:r w:rsidR="00EA64DA" w:rsidRPr="00EA64DA">
        <w:rPr>
          <w:sz w:val="20"/>
          <w:szCs w:val="20"/>
        </w:rPr>
        <w:t>595/2009 un atceļ Direktīvu 2007/46/EK, 4. panta 1. punkta "a" un "b" apakšpunktā noteiktajam transportlīdzekļu kategoriju dalījumam, rūpnieciski ražotu M1, M2, N1 vai N2 kategorijas elektromobili, kas nav bijis reģistrēts pastāvīgā uzskaitē un kas pastāvīgā uzskaitē tā galalietotājam Latvijā ir pirmo reizi, un kura odometra rādījums (nobraukums) pastāvīgās uzskaites reģistrācijas brīdī nepārsniedz 6000 km</w:t>
      </w:r>
      <w:r>
        <w:rPr>
          <w:sz w:val="20"/>
          <w:szCs w:val="20"/>
        </w:rPr>
        <w:t>.</w:t>
      </w:r>
    </w:p>
    <w:p w14:paraId="6604F925" w14:textId="0F53FB3C" w:rsidR="00EA64DA" w:rsidRDefault="00905DDC" w:rsidP="00EA64DA">
      <w:pPr>
        <w:pStyle w:val="ListParagraph"/>
        <w:numPr>
          <w:ilvl w:val="0"/>
          <w:numId w:val="22"/>
        </w:numPr>
        <w:jc w:val="both"/>
        <w:rPr>
          <w:sz w:val="20"/>
          <w:szCs w:val="20"/>
        </w:rPr>
      </w:pPr>
      <w:r w:rsidRPr="00FC462C">
        <w:rPr>
          <w:sz w:val="20"/>
          <w:szCs w:val="20"/>
        </w:rPr>
        <w:t>Darījumu apliecinošs dokuments ir rēķins, faktūrrēķins, preču pavadzīme-rēķins utt.</w:t>
      </w:r>
      <w:r>
        <w:rPr>
          <w:sz w:val="20"/>
          <w:szCs w:val="20"/>
        </w:rPr>
        <w:t xml:space="preserve"> </w:t>
      </w:r>
      <w:r w:rsidRPr="00B2033F">
        <w:rPr>
          <w:sz w:val="20"/>
          <w:szCs w:val="20"/>
        </w:rPr>
        <w:t>Visus projekta ietvaros veiktos izdevumus finansējuma saņēmējs pamato ar rakstveida līgumiem un grāmatvedības dokumentiem</w:t>
      </w:r>
      <w:r>
        <w:rPr>
          <w:sz w:val="20"/>
          <w:szCs w:val="20"/>
        </w:rPr>
        <w:t>.</w:t>
      </w:r>
    </w:p>
    <w:p w14:paraId="40A81BF0" w14:textId="1894C496" w:rsidR="00EA64DA" w:rsidRDefault="00905DDC" w:rsidP="00EA64DA">
      <w:pPr>
        <w:pStyle w:val="ListParagraph"/>
        <w:numPr>
          <w:ilvl w:val="0"/>
          <w:numId w:val="22"/>
        </w:numPr>
        <w:jc w:val="both"/>
        <w:rPr>
          <w:sz w:val="20"/>
          <w:szCs w:val="20"/>
        </w:rPr>
      </w:pPr>
      <w:r w:rsidRPr="00B44DD3">
        <w:rPr>
          <w:sz w:val="20"/>
          <w:szCs w:val="20"/>
        </w:rPr>
        <w:t xml:space="preserve">Iesniedz kredītiestādes apstiprinātu vai finansējuma saņēmēja, atbilstoši </w:t>
      </w:r>
      <w:hyperlink r:id="rId9" w:anchor="p11" w:history="1">
        <w:r w:rsidRPr="00B44DD3">
          <w:rPr>
            <w:rStyle w:val="Hyperlink"/>
            <w:sz w:val="20"/>
            <w:szCs w:val="20"/>
          </w:rPr>
          <w:t>Grāmatvedības likuma 11. pantam</w:t>
        </w:r>
      </w:hyperlink>
      <w:r w:rsidRPr="00B44DD3">
        <w:rPr>
          <w:sz w:val="20"/>
          <w:szCs w:val="20"/>
        </w:rPr>
        <w:t>, apliecinātu bankas konta apgrozījuma izdruku</w:t>
      </w:r>
      <w:r>
        <w:rPr>
          <w:sz w:val="20"/>
          <w:szCs w:val="20"/>
        </w:rPr>
        <w:t>.</w:t>
      </w:r>
    </w:p>
    <w:p w14:paraId="7EC17F24" w14:textId="55602D57" w:rsidR="00EA64DA" w:rsidRPr="00EA64DA" w:rsidRDefault="00905DDC" w:rsidP="00EA64DA">
      <w:pPr>
        <w:pStyle w:val="ListParagraph"/>
        <w:numPr>
          <w:ilvl w:val="0"/>
          <w:numId w:val="22"/>
        </w:numPr>
        <w:jc w:val="both"/>
        <w:rPr>
          <w:sz w:val="20"/>
          <w:szCs w:val="20"/>
        </w:rPr>
      </w:pPr>
      <w:r w:rsidRPr="00FC462C">
        <w:rPr>
          <w:sz w:val="20"/>
          <w:szCs w:val="20"/>
        </w:rPr>
        <w:t>Iesniegtās PVN deklarācijas pārskatā par priekšnodokļa un nodokļa summām, kas norādītas nodokļa deklarācijā, ir jābūt norādītiem visiem nodokļa rēķiniem, kas apliecina darījumu veikšanu projekta ietvaros un uz kuru pamata ir aprēķināts PVN samaksai valsts budžetā. PVN izmaksas var tikt attiecinātas Projekta ietvaros, ja tās ir faktiski veiktas no Projekta konta</w:t>
      </w:r>
      <w:r>
        <w:rPr>
          <w:sz w:val="20"/>
          <w:szCs w:val="20"/>
        </w:rPr>
        <w:t>.</w:t>
      </w:r>
    </w:p>
    <w:p w14:paraId="09D3BAE8" w14:textId="77777777" w:rsidR="00905DDC" w:rsidRDefault="00905DDC" w:rsidP="00E313DB">
      <w:pPr>
        <w:pStyle w:val="ListParagraph"/>
        <w:ind w:left="0"/>
        <w:jc w:val="both"/>
        <w:rPr>
          <w:sz w:val="20"/>
          <w:szCs w:val="20"/>
        </w:rPr>
      </w:pPr>
    </w:p>
    <w:p w14:paraId="6F36A68F" w14:textId="10864362" w:rsidR="00491BD6" w:rsidRPr="00EA64DA" w:rsidRDefault="00905DDC" w:rsidP="00E313DB">
      <w:pPr>
        <w:pStyle w:val="ListParagraph"/>
        <w:ind w:left="0"/>
        <w:jc w:val="both"/>
        <w:rPr>
          <w:sz w:val="20"/>
          <w:szCs w:val="20"/>
        </w:rPr>
      </w:pPr>
      <w:r w:rsidRPr="00B44DD3">
        <w:rPr>
          <w:sz w:val="20"/>
          <w:szCs w:val="20"/>
        </w:rPr>
        <w:t xml:space="preserve">Izstrādājot un noformējot maksājumu un darījumu apliecinošos dokumentus, ņem vērā </w:t>
      </w:r>
      <w:hyperlink r:id="rId10" w:history="1">
        <w:r w:rsidRPr="00B44DD3">
          <w:rPr>
            <w:rStyle w:val="Hyperlink"/>
            <w:sz w:val="20"/>
            <w:szCs w:val="20"/>
          </w:rPr>
          <w:t>Grāmatvedības likumā</w:t>
        </w:r>
      </w:hyperlink>
      <w:r w:rsidRPr="00B44DD3">
        <w:rPr>
          <w:sz w:val="20"/>
          <w:szCs w:val="20"/>
        </w:rPr>
        <w:t xml:space="preserve">, </w:t>
      </w:r>
      <w:hyperlink r:id="rId11" w:history="1">
        <w:r w:rsidRPr="00B44DD3">
          <w:rPr>
            <w:rStyle w:val="Hyperlink"/>
            <w:sz w:val="20"/>
            <w:szCs w:val="20"/>
          </w:rPr>
          <w:t>Pievienotās vērtības nodokļa likumā</w:t>
        </w:r>
      </w:hyperlink>
      <w:r w:rsidRPr="00B44DD3">
        <w:rPr>
          <w:sz w:val="20"/>
          <w:szCs w:val="20"/>
        </w:rPr>
        <w:t xml:space="preserve">, </w:t>
      </w:r>
      <w:hyperlink r:id="rId12" w:history="1">
        <w:r w:rsidRPr="00B44DD3">
          <w:rPr>
            <w:rStyle w:val="Hyperlink"/>
            <w:sz w:val="20"/>
            <w:szCs w:val="20"/>
          </w:rPr>
          <w:t>Ministru kabineta 2021. gada 21. decembra noteikumos Nr. 877 “Grāmatvedības kārtošanas noteikumi”</w:t>
        </w:r>
      </w:hyperlink>
      <w:r w:rsidRPr="00B44DD3">
        <w:rPr>
          <w:sz w:val="20"/>
          <w:szCs w:val="20"/>
        </w:rPr>
        <w:t xml:space="preserve">, </w:t>
      </w:r>
      <w:hyperlink r:id="rId13" w:history="1">
        <w:r w:rsidRPr="00B44DD3">
          <w:rPr>
            <w:rStyle w:val="Hyperlink"/>
            <w:sz w:val="20"/>
            <w:szCs w:val="20"/>
          </w:rPr>
          <w:t>Ministru kabineta 2018. gada 4. septembra noteikumos Nr. 558 “Dokumentu izstrādāšanas un noformēšanas kārtība”</w:t>
        </w:r>
      </w:hyperlink>
      <w:r w:rsidRPr="00B44DD3">
        <w:rPr>
          <w:sz w:val="20"/>
          <w:szCs w:val="20"/>
        </w:rPr>
        <w:t>, kā arī citos normatīvajos aktos noteiktās prasības.</w:t>
      </w:r>
    </w:p>
    <w:sectPr w:rsidR="00491BD6" w:rsidRPr="00EA64DA" w:rsidSect="005723AA">
      <w:headerReference w:type="default" r:id="rId14"/>
      <w:footerReference w:type="default" r:id="rId15"/>
      <w:endnotePr>
        <w:numFmt w:val="decimal"/>
      </w:endnotePr>
      <w:type w:val="continuous"/>
      <w:pgSz w:w="16838" w:h="11906" w:orient="landscape"/>
      <w:pgMar w:top="1134" w:right="1134" w:bottom="1134" w:left="1134" w:header="993"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A63D5B" w14:textId="77777777" w:rsidR="00CD3B31" w:rsidRDefault="00CD3B31" w:rsidP="00BD1BB6">
      <w:r>
        <w:separator/>
      </w:r>
    </w:p>
  </w:endnote>
  <w:endnote w:type="continuationSeparator" w:id="0">
    <w:p w14:paraId="2FD47322" w14:textId="77777777" w:rsidR="00CD3B31" w:rsidRDefault="00CD3B31" w:rsidP="00BD1B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52B1D" w14:textId="3F2A3A79" w:rsidR="00D21351" w:rsidRDefault="00D21351">
    <w:pPr>
      <w:pStyle w:val="Footer"/>
      <w:jc w:val="right"/>
    </w:pPr>
  </w:p>
  <w:p w14:paraId="6203A551" w14:textId="77777777" w:rsidR="00D21351" w:rsidRDefault="00D213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C521C3" w14:textId="77777777" w:rsidR="00CD3B31" w:rsidRDefault="00CD3B31" w:rsidP="00BD1BB6">
      <w:r>
        <w:separator/>
      </w:r>
    </w:p>
  </w:footnote>
  <w:footnote w:type="continuationSeparator" w:id="0">
    <w:p w14:paraId="60775181" w14:textId="77777777" w:rsidR="00CD3B31" w:rsidRDefault="00CD3B31" w:rsidP="00BD1B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A1239" w14:textId="4357B7E1" w:rsidR="00E23716" w:rsidRPr="002B324E" w:rsidRDefault="00692141" w:rsidP="00E23716">
    <w:pPr>
      <w:jc w:val="right"/>
      <w:rPr>
        <w:sz w:val="16"/>
        <w:szCs w:val="16"/>
      </w:rPr>
    </w:pPr>
    <w:r>
      <w:rPr>
        <w:sz w:val="16"/>
        <w:szCs w:val="16"/>
      </w:rPr>
      <w:t>“</w:t>
    </w:r>
    <w:r w:rsidR="00653B1C" w:rsidRPr="00653B1C">
      <w:rPr>
        <w:sz w:val="16"/>
        <w:szCs w:val="16"/>
      </w:rPr>
      <w:t>Energoefektivitātes paaugstināšana transporta sektorā – atbalsts elektromobiļu un to uzlādes infrastruktūras ieviešanai</w:t>
    </w:r>
    <w:r>
      <w:rPr>
        <w:sz w:val="16"/>
        <w:szCs w:val="16"/>
      </w:rPr>
      <w:t>”</w:t>
    </w:r>
  </w:p>
  <w:p w14:paraId="4319B753" w14:textId="7BE52068" w:rsidR="00E23716" w:rsidRDefault="00E23716" w:rsidP="00E23716">
    <w:pPr>
      <w:jc w:val="right"/>
      <w:rPr>
        <w:sz w:val="16"/>
        <w:szCs w:val="16"/>
      </w:rPr>
    </w:pPr>
    <w:r w:rsidRPr="002B324E">
      <w:rPr>
        <w:sz w:val="16"/>
        <w:szCs w:val="16"/>
      </w:rPr>
      <w:t>Līgum</w:t>
    </w:r>
    <w:r>
      <w:rPr>
        <w:sz w:val="16"/>
        <w:szCs w:val="16"/>
      </w:rPr>
      <w:t>a</w:t>
    </w:r>
    <w:r w:rsidRPr="002B324E">
      <w:rPr>
        <w:sz w:val="16"/>
        <w:szCs w:val="16"/>
      </w:rPr>
      <w:t xml:space="preserve"> par projekta ī</w:t>
    </w:r>
    <w:r>
      <w:rPr>
        <w:sz w:val="16"/>
        <w:szCs w:val="16"/>
      </w:rPr>
      <w:t xml:space="preserve">stenošanu vispārīgo noteikumu </w:t>
    </w:r>
    <w:r w:rsidR="000C2423">
      <w:rPr>
        <w:sz w:val="16"/>
        <w:szCs w:val="16"/>
      </w:rPr>
      <w:t>3</w:t>
    </w:r>
    <w:r>
      <w:rPr>
        <w:sz w:val="16"/>
        <w:szCs w:val="16"/>
      </w:rPr>
      <w:t>. pielikums – Attiecināmās izmaksas attaisnojošie dokumenti</w:t>
    </w:r>
  </w:p>
  <w:p w14:paraId="4C9AC1D8" w14:textId="77777777" w:rsidR="00E23716" w:rsidRPr="00E23716" w:rsidRDefault="00E23716" w:rsidP="00E23716">
    <w:pPr>
      <w:jc w:val="right"/>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86FA9"/>
    <w:multiLevelType w:val="hybridMultilevel"/>
    <w:tmpl w:val="D340D298"/>
    <w:lvl w:ilvl="0" w:tplc="D4F2C1F2">
      <w:start w:val="1"/>
      <w:numFmt w:val="decimal"/>
      <w:lvlText w:val="%1."/>
      <w:lvlJc w:val="left"/>
      <w:pPr>
        <w:ind w:left="462" w:hanging="360"/>
      </w:pPr>
      <w:rPr>
        <w:rFonts w:hint="default"/>
      </w:rPr>
    </w:lvl>
    <w:lvl w:ilvl="1" w:tplc="04260019" w:tentative="1">
      <w:start w:val="1"/>
      <w:numFmt w:val="lowerLetter"/>
      <w:lvlText w:val="%2."/>
      <w:lvlJc w:val="left"/>
      <w:pPr>
        <w:ind w:left="1182" w:hanging="360"/>
      </w:pPr>
    </w:lvl>
    <w:lvl w:ilvl="2" w:tplc="0426001B" w:tentative="1">
      <w:start w:val="1"/>
      <w:numFmt w:val="lowerRoman"/>
      <w:lvlText w:val="%3."/>
      <w:lvlJc w:val="right"/>
      <w:pPr>
        <w:ind w:left="1902" w:hanging="180"/>
      </w:pPr>
    </w:lvl>
    <w:lvl w:ilvl="3" w:tplc="0426000F" w:tentative="1">
      <w:start w:val="1"/>
      <w:numFmt w:val="decimal"/>
      <w:lvlText w:val="%4."/>
      <w:lvlJc w:val="left"/>
      <w:pPr>
        <w:ind w:left="2622" w:hanging="360"/>
      </w:pPr>
    </w:lvl>
    <w:lvl w:ilvl="4" w:tplc="04260019" w:tentative="1">
      <w:start w:val="1"/>
      <w:numFmt w:val="lowerLetter"/>
      <w:lvlText w:val="%5."/>
      <w:lvlJc w:val="left"/>
      <w:pPr>
        <w:ind w:left="3342" w:hanging="360"/>
      </w:pPr>
    </w:lvl>
    <w:lvl w:ilvl="5" w:tplc="0426001B" w:tentative="1">
      <w:start w:val="1"/>
      <w:numFmt w:val="lowerRoman"/>
      <w:lvlText w:val="%6."/>
      <w:lvlJc w:val="right"/>
      <w:pPr>
        <w:ind w:left="4062" w:hanging="180"/>
      </w:pPr>
    </w:lvl>
    <w:lvl w:ilvl="6" w:tplc="0426000F" w:tentative="1">
      <w:start w:val="1"/>
      <w:numFmt w:val="decimal"/>
      <w:lvlText w:val="%7."/>
      <w:lvlJc w:val="left"/>
      <w:pPr>
        <w:ind w:left="4782" w:hanging="360"/>
      </w:pPr>
    </w:lvl>
    <w:lvl w:ilvl="7" w:tplc="04260019" w:tentative="1">
      <w:start w:val="1"/>
      <w:numFmt w:val="lowerLetter"/>
      <w:lvlText w:val="%8."/>
      <w:lvlJc w:val="left"/>
      <w:pPr>
        <w:ind w:left="5502" w:hanging="360"/>
      </w:pPr>
    </w:lvl>
    <w:lvl w:ilvl="8" w:tplc="0426001B" w:tentative="1">
      <w:start w:val="1"/>
      <w:numFmt w:val="lowerRoman"/>
      <w:lvlText w:val="%9."/>
      <w:lvlJc w:val="right"/>
      <w:pPr>
        <w:ind w:left="6222" w:hanging="180"/>
      </w:pPr>
    </w:lvl>
  </w:abstractNum>
  <w:abstractNum w:abstractNumId="1" w15:restartNumberingAfterBreak="0">
    <w:nsid w:val="02052859"/>
    <w:multiLevelType w:val="hybridMultilevel"/>
    <w:tmpl w:val="BF12953C"/>
    <w:lvl w:ilvl="0" w:tplc="FFFFFFFF">
      <w:start w:val="1"/>
      <w:numFmt w:val="decimal"/>
      <w:lvlText w:val="%1."/>
      <w:lvlJc w:val="left"/>
      <w:pPr>
        <w:ind w:left="858" w:hanging="360"/>
      </w:pPr>
    </w:lvl>
    <w:lvl w:ilvl="1" w:tplc="FFFFFFFF" w:tentative="1">
      <w:start w:val="1"/>
      <w:numFmt w:val="lowerLetter"/>
      <w:lvlText w:val="%2."/>
      <w:lvlJc w:val="left"/>
      <w:pPr>
        <w:ind w:left="1578" w:hanging="360"/>
      </w:pPr>
    </w:lvl>
    <w:lvl w:ilvl="2" w:tplc="FFFFFFFF" w:tentative="1">
      <w:start w:val="1"/>
      <w:numFmt w:val="lowerRoman"/>
      <w:lvlText w:val="%3."/>
      <w:lvlJc w:val="right"/>
      <w:pPr>
        <w:ind w:left="2298" w:hanging="180"/>
      </w:pPr>
    </w:lvl>
    <w:lvl w:ilvl="3" w:tplc="FFFFFFFF" w:tentative="1">
      <w:start w:val="1"/>
      <w:numFmt w:val="decimal"/>
      <w:lvlText w:val="%4."/>
      <w:lvlJc w:val="left"/>
      <w:pPr>
        <w:ind w:left="3018" w:hanging="360"/>
      </w:pPr>
    </w:lvl>
    <w:lvl w:ilvl="4" w:tplc="FFFFFFFF" w:tentative="1">
      <w:start w:val="1"/>
      <w:numFmt w:val="lowerLetter"/>
      <w:lvlText w:val="%5."/>
      <w:lvlJc w:val="left"/>
      <w:pPr>
        <w:ind w:left="3738" w:hanging="360"/>
      </w:pPr>
    </w:lvl>
    <w:lvl w:ilvl="5" w:tplc="FFFFFFFF" w:tentative="1">
      <w:start w:val="1"/>
      <w:numFmt w:val="lowerRoman"/>
      <w:lvlText w:val="%6."/>
      <w:lvlJc w:val="right"/>
      <w:pPr>
        <w:ind w:left="4458" w:hanging="180"/>
      </w:pPr>
    </w:lvl>
    <w:lvl w:ilvl="6" w:tplc="FFFFFFFF" w:tentative="1">
      <w:start w:val="1"/>
      <w:numFmt w:val="decimal"/>
      <w:lvlText w:val="%7."/>
      <w:lvlJc w:val="left"/>
      <w:pPr>
        <w:ind w:left="5178" w:hanging="360"/>
      </w:pPr>
    </w:lvl>
    <w:lvl w:ilvl="7" w:tplc="FFFFFFFF" w:tentative="1">
      <w:start w:val="1"/>
      <w:numFmt w:val="lowerLetter"/>
      <w:lvlText w:val="%8."/>
      <w:lvlJc w:val="left"/>
      <w:pPr>
        <w:ind w:left="5898" w:hanging="360"/>
      </w:pPr>
    </w:lvl>
    <w:lvl w:ilvl="8" w:tplc="FFFFFFFF" w:tentative="1">
      <w:start w:val="1"/>
      <w:numFmt w:val="lowerRoman"/>
      <w:lvlText w:val="%9."/>
      <w:lvlJc w:val="right"/>
      <w:pPr>
        <w:ind w:left="6618" w:hanging="180"/>
      </w:pPr>
    </w:lvl>
  </w:abstractNum>
  <w:abstractNum w:abstractNumId="2" w15:restartNumberingAfterBreak="0">
    <w:nsid w:val="10B77C90"/>
    <w:multiLevelType w:val="multilevel"/>
    <w:tmpl w:val="0426001F"/>
    <w:lvl w:ilvl="0">
      <w:start w:val="1"/>
      <w:numFmt w:val="decimal"/>
      <w:lvlText w:val="%1."/>
      <w:lvlJc w:val="left"/>
      <w:pPr>
        <w:ind w:left="3184" w:hanging="360"/>
      </w:pPr>
    </w:lvl>
    <w:lvl w:ilvl="1">
      <w:start w:val="1"/>
      <w:numFmt w:val="decimal"/>
      <w:lvlText w:val="%1.%2."/>
      <w:lvlJc w:val="left"/>
      <w:pPr>
        <w:ind w:left="3616" w:hanging="432"/>
      </w:pPr>
    </w:lvl>
    <w:lvl w:ilvl="2">
      <w:start w:val="1"/>
      <w:numFmt w:val="decimal"/>
      <w:lvlText w:val="%1.%2.%3."/>
      <w:lvlJc w:val="left"/>
      <w:pPr>
        <w:ind w:left="4048" w:hanging="504"/>
      </w:pPr>
    </w:lvl>
    <w:lvl w:ilvl="3">
      <w:start w:val="1"/>
      <w:numFmt w:val="decimal"/>
      <w:lvlText w:val="%1.%2.%3.%4."/>
      <w:lvlJc w:val="left"/>
      <w:pPr>
        <w:ind w:left="4552" w:hanging="648"/>
      </w:pPr>
    </w:lvl>
    <w:lvl w:ilvl="4">
      <w:start w:val="1"/>
      <w:numFmt w:val="decimal"/>
      <w:lvlText w:val="%1.%2.%3.%4.%5."/>
      <w:lvlJc w:val="left"/>
      <w:pPr>
        <w:ind w:left="5056" w:hanging="792"/>
      </w:pPr>
    </w:lvl>
    <w:lvl w:ilvl="5">
      <w:start w:val="1"/>
      <w:numFmt w:val="decimal"/>
      <w:lvlText w:val="%1.%2.%3.%4.%5.%6."/>
      <w:lvlJc w:val="left"/>
      <w:pPr>
        <w:ind w:left="5560" w:hanging="936"/>
      </w:pPr>
    </w:lvl>
    <w:lvl w:ilvl="6">
      <w:start w:val="1"/>
      <w:numFmt w:val="decimal"/>
      <w:lvlText w:val="%1.%2.%3.%4.%5.%6.%7."/>
      <w:lvlJc w:val="left"/>
      <w:pPr>
        <w:ind w:left="6064" w:hanging="1080"/>
      </w:pPr>
    </w:lvl>
    <w:lvl w:ilvl="7">
      <w:start w:val="1"/>
      <w:numFmt w:val="decimal"/>
      <w:lvlText w:val="%1.%2.%3.%4.%5.%6.%7.%8."/>
      <w:lvlJc w:val="left"/>
      <w:pPr>
        <w:ind w:left="6568" w:hanging="1224"/>
      </w:pPr>
    </w:lvl>
    <w:lvl w:ilvl="8">
      <w:start w:val="1"/>
      <w:numFmt w:val="decimal"/>
      <w:lvlText w:val="%1.%2.%3.%4.%5.%6.%7.%8.%9."/>
      <w:lvlJc w:val="left"/>
      <w:pPr>
        <w:ind w:left="7144" w:hanging="1440"/>
      </w:pPr>
    </w:lvl>
  </w:abstractNum>
  <w:abstractNum w:abstractNumId="3" w15:restartNumberingAfterBreak="0">
    <w:nsid w:val="13D04C80"/>
    <w:multiLevelType w:val="hybridMultilevel"/>
    <w:tmpl w:val="2850CA32"/>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1C7B6352"/>
    <w:multiLevelType w:val="hybridMultilevel"/>
    <w:tmpl w:val="FB72CD4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C936F0C"/>
    <w:multiLevelType w:val="hybridMultilevel"/>
    <w:tmpl w:val="EA3A371C"/>
    <w:lvl w:ilvl="0" w:tplc="0426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E6C3D45"/>
    <w:multiLevelType w:val="hybridMultilevel"/>
    <w:tmpl w:val="903CE428"/>
    <w:lvl w:ilvl="0" w:tplc="04260001">
      <w:start w:val="1"/>
      <w:numFmt w:val="bullet"/>
      <w:lvlText w:val=""/>
      <w:lvlJc w:val="left"/>
      <w:pPr>
        <w:ind w:left="360" w:hanging="360"/>
      </w:pPr>
      <w:rPr>
        <w:rFonts w:ascii="Symbol" w:hAnsi="Symbol" w:hint="default"/>
      </w:rPr>
    </w:lvl>
    <w:lvl w:ilvl="1" w:tplc="04260003">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7" w15:restartNumberingAfterBreak="0">
    <w:nsid w:val="282439C4"/>
    <w:multiLevelType w:val="hybridMultilevel"/>
    <w:tmpl w:val="8E00381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2A5C54D8"/>
    <w:multiLevelType w:val="hybridMultilevel"/>
    <w:tmpl w:val="EF566BF2"/>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A605E7B"/>
    <w:multiLevelType w:val="hybridMultilevel"/>
    <w:tmpl w:val="A4200594"/>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0" w15:restartNumberingAfterBreak="0">
    <w:nsid w:val="2EDF69C1"/>
    <w:multiLevelType w:val="hybridMultilevel"/>
    <w:tmpl w:val="BF12953C"/>
    <w:lvl w:ilvl="0" w:tplc="0409000F">
      <w:start w:val="1"/>
      <w:numFmt w:val="decimal"/>
      <w:lvlText w:val="%1."/>
      <w:lvlJc w:val="left"/>
      <w:pPr>
        <w:ind w:left="858" w:hanging="360"/>
      </w:pPr>
    </w:lvl>
    <w:lvl w:ilvl="1" w:tplc="04090019" w:tentative="1">
      <w:start w:val="1"/>
      <w:numFmt w:val="lowerLetter"/>
      <w:lvlText w:val="%2."/>
      <w:lvlJc w:val="left"/>
      <w:pPr>
        <w:ind w:left="1578" w:hanging="360"/>
      </w:pPr>
    </w:lvl>
    <w:lvl w:ilvl="2" w:tplc="0409001B" w:tentative="1">
      <w:start w:val="1"/>
      <w:numFmt w:val="lowerRoman"/>
      <w:lvlText w:val="%3."/>
      <w:lvlJc w:val="right"/>
      <w:pPr>
        <w:ind w:left="2298" w:hanging="180"/>
      </w:pPr>
    </w:lvl>
    <w:lvl w:ilvl="3" w:tplc="0409000F" w:tentative="1">
      <w:start w:val="1"/>
      <w:numFmt w:val="decimal"/>
      <w:lvlText w:val="%4."/>
      <w:lvlJc w:val="left"/>
      <w:pPr>
        <w:ind w:left="3018" w:hanging="360"/>
      </w:pPr>
    </w:lvl>
    <w:lvl w:ilvl="4" w:tplc="04090019" w:tentative="1">
      <w:start w:val="1"/>
      <w:numFmt w:val="lowerLetter"/>
      <w:lvlText w:val="%5."/>
      <w:lvlJc w:val="left"/>
      <w:pPr>
        <w:ind w:left="3738" w:hanging="360"/>
      </w:pPr>
    </w:lvl>
    <w:lvl w:ilvl="5" w:tplc="0409001B" w:tentative="1">
      <w:start w:val="1"/>
      <w:numFmt w:val="lowerRoman"/>
      <w:lvlText w:val="%6."/>
      <w:lvlJc w:val="right"/>
      <w:pPr>
        <w:ind w:left="4458" w:hanging="180"/>
      </w:pPr>
    </w:lvl>
    <w:lvl w:ilvl="6" w:tplc="0409000F" w:tentative="1">
      <w:start w:val="1"/>
      <w:numFmt w:val="decimal"/>
      <w:lvlText w:val="%7."/>
      <w:lvlJc w:val="left"/>
      <w:pPr>
        <w:ind w:left="5178" w:hanging="360"/>
      </w:pPr>
    </w:lvl>
    <w:lvl w:ilvl="7" w:tplc="04090019" w:tentative="1">
      <w:start w:val="1"/>
      <w:numFmt w:val="lowerLetter"/>
      <w:lvlText w:val="%8."/>
      <w:lvlJc w:val="left"/>
      <w:pPr>
        <w:ind w:left="5898" w:hanging="360"/>
      </w:pPr>
    </w:lvl>
    <w:lvl w:ilvl="8" w:tplc="0409001B" w:tentative="1">
      <w:start w:val="1"/>
      <w:numFmt w:val="lowerRoman"/>
      <w:lvlText w:val="%9."/>
      <w:lvlJc w:val="right"/>
      <w:pPr>
        <w:ind w:left="6618" w:hanging="180"/>
      </w:pPr>
    </w:lvl>
  </w:abstractNum>
  <w:abstractNum w:abstractNumId="11" w15:restartNumberingAfterBreak="0">
    <w:nsid w:val="2F17389B"/>
    <w:multiLevelType w:val="hybridMultilevel"/>
    <w:tmpl w:val="5434D0B0"/>
    <w:lvl w:ilvl="0" w:tplc="FB90510A">
      <w:start w:val="1"/>
      <w:numFmt w:val="decimal"/>
      <w:lvlText w:val="%1."/>
      <w:lvlJc w:val="left"/>
      <w:pPr>
        <w:ind w:left="462" w:hanging="360"/>
      </w:pPr>
      <w:rPr>
        <w:rFonts w:hint="default"/>
      </w:rPr>
    </w:lvl>
    <w:lvl w:ilvl="1" w:tplc="04260019" w:tentative="1">
      <w:start w:val="1"/>
      <w:numFmt w:val="lowerLetter"/>
      <w:lvlText w:val="%2."/>
      <w:lvlJc w:val="left"/>
      <w:pPr>
        <w:ind w:left="1182" w:hanging="360"/>
      </w:pPr>
    </w:lvl>
    <w:lvl w:ilvl="2" w:tplc="0426001B" w:tentative="1">
      <w:start w:val="1"/>
      <w:numFmt w:val="lowerRoman"/>
      <w:lvlText w:val="%3."/>
      <w:lvlJc w:val="right"/>
      <w:pPr>
        <w:ind w:left="1902" w:hanging="180"/>
      </w:pPr>
    </w:lvl>
    <w:lvl w:ilvl="3" w:tplc="0426000F" w:tentative="1">
      <w:start w:val="1"/>
      <w:numFmt w:val="decimal"/>
      <w:lvlText w:val="%4."/>
      <w:lvlJc w:val="left"/>
      <w:pPr>
        <w:ind w:left="2622" w:hanging="360"/>
      </w:pPr>
    </w:lvl>
    <w:lvl w:ilvl="4" w:tplc="04260019" w:tentative="1">
      <w:start w:val="1"/>
      <w:numFmt w:val="lowerLetter"/>
      <w:lvlText w:val="%5."/>
      <w:lvlJc w:val="left"/>
      <w:pPr>
        <w:ind w:left="3342" w:hanging="360"/>
      </w:pPr>
    </w:lvl>
    <w:lvl w:ilvl="5" w:tplc="0426001B" w:tentative="1">
      <w:start w:val="1"/>
      <w:numFmt w:val="lowerRoman"/>
      <w:lvlText w:val="%6."/>
      <w:lvlJc w:val="right"/>
      <w:pPr>
        <w:ind w:left="4062" w:hanging="180"/>
      </w:pPr>
    </w:lvl>
    <w:lvl w:ilvl="6" w:tplc="0426000F" w:tentative="1">
      <w:start w:val="1"/>
      <w:numFmt w:val="decimal"/>
      <w:lvlText w:val="%7."/>
      <w:lvlJc w:val="left"/>
      <w:pPr>
        <w:ind w:left="4782" w:hanging="360"/>
      </w:pPr>
    </w:lvl>
    <w:lvl w:ilvl="7" w:tplc="04260019" w:tentative="1">
      <w:start w:val="1"/>
      <w:numFmt w:val="lowerLetter"/>
      <w:lvlText w:val="%8."/>
      <w:lvlJc w:val="left"/>
      <w:pPr>
        <w:ind w:left="5502" w:hanging="360"/>
      </w:pPr>
    </w:lvl>
    <w:lvl w:ilvl="8" w:tplc="0426001B" w:tentative="1">
      <w:start w:val="1"/>
      <w:numFmt w:val="lowerRoman"/>
      <w:lvlText w:val="%9."/>
      <w:lvlJc w:val="right"/>
      <w:pPr>
        <w:ind w:left="6222" w:hanging="180"/>
      </w:pPr>
    </w:lvl>
  </w:abstractNum>
  <w:abstractNum w:abstractNumId="12" w15:restartNumberingAfterBreak="0">
    <w:nsid w:val="34E864A1"/>
    <w:multiLevelType w:val="hybridMultilevel"/>
    <w:tmpl w:val="E4C0261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367D11EE"/>
    <w:multiLevelType w:val="multilevel"/>
    <w:tmpl w:val="FAF2B280"/>
    <w:lvl w:ilvl="0">
      <w:start w:val="5"/>
      <w:numFmt w:val="decimal"/>
      <w:lvlText w:val="%1."/>
      <w:lvlJc w:val="left"/>
      <w:pPr>
        <w:ind w:left="675" w:hanging="675"/>
      </w:pPr>
      <w:rPr>
        <w:rFonts w:cs="Times New Roman" w:hint="default"/>
      </w:rPr>
    </w:lvl>
    <w:lvl w:ilvl="1">
      <w:start w:val="2"/>
      <w:numFmt w:val="decimal"/>
      <w:lvlText w:val="%1.%2."/>
      <w:lvlJc w:val="left"/>
      <w:pPr>
        <w:ind w:left="4406"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 w15:restartNumberingAfterBreak="0">
    <w:nsid w:val="369B0732"/>
    <w:multiLevelType w:val="hybridMultilevel"/>
    <w:tmpl w:val="004CBBFC"/>
    <w:lvl w:ilvl="0" w:tplc="E7D806FA">
      <w:start w:val="1"/>
      <w:numFmt w:val="decimal"/>
      <w:lvlText w:val="%1."/>
      <w:lvlJc w:val="left"/>
      <w:pPr>
        <w:ind w:left="462" w:hanging="360"/>
      </w:pPr>
      <w:rPr>
        <w:rFonts w:hint="default"/>
      </w:rPr>
    </w:lvl>
    <w:lvl w:ilvl="1" w:tplc="04260019" w:tentative="1">
      <w:start w:val="1"/>
      <w:numFmt w:val="lowerLetter"/>
      <w:lvlText w:val="%2."/>
      <w:lvlJc w:val="left"/>
      <w:pPr>
        <w:ind w:left="1182" w:hanging="360"/>
      </w:pPr>
    </w:lvl>
    <w:lvl w:ilvl="2" w:tplc="0426001B" w:tentative="1">
      <w:start w:val="1"/>
      <w:numFmt w:val="lowerRoman"/>
      <w:lvlText w:val="%3."/>
      <w:lvlJc w:val="right"/>
      <w:pPr>
        <w:ind w:left="1902" w:hanging="180"/>
      </w:pPr>
    </w:lvl>
    <w:lvl w:ilvl="3" w:tplc="0426000F" w:tentative="1">
      <w:start w:val="1"/>
      <w:numFmt w:val="decimal"/>
      <w:lvlText w:val="%4."/>
      <w:lvlJc w:val="left"/>
      <w:pPr>
        <w:ind w:left="2622" w:hanging="360"/>
      </w:pPr>
    </w:lvl>
    <w:lvl w:ilvl="4" w:tplc="04260019" w:tentative="1">
      <w:start w:val="1"/>
      <w:numFmt w:val="lowerLetter"/>
      <w:lvlText w:val="%5."/>
      <w:lvlJc w:val="left"/>
      <w:pPr>
        <w:ind w:left="3342" w:hanging="360"/>
      </w:pPr>
    </w:lvl>
    <w:lvl w:ilvl="5" w:tplc="0426001B" w:tentative="1">
      <w:start w:val="1"/>
      <w:numFmt w:val="lowerRoman"/>
      <w:lvlText w:val="%6."/>
      <w:lvlJc w:val="right"/>
      <w:pPr>
        <w:ind w:left="4062" w:hanging="180"/>
      </w:pPr>
    </w:lvl>
    <w:lvl w:ilvl="6" w:tplc="0426000F" w:tentative="1">
      <w:start w:val="1"/>
      <w:numFmt w:val="decimal"/>
      <w:lvlText w:val="%7."/>
      <w:lvlJc w:val="left"/>
      <w:pPr>
        <w:ind w:left="4782" w:hanging="360"/>
      </w:pPr>
    </w:lvl>
    <w:lvl w:ilvl="7" w:tplc="04260019" w:tentative="1">
      <w:start w:val="1"/>
      <w:numFmt w:val="lowerLetter"/>
      <w:lvlText w:val="%8."/>
      <w:lvlJc w:val="left"/>
      <w:pPr>
        <w:ind w:left="5502" w:hanging="360"/>
      </w:pPr>
    </w:lvl>
    <w:lvl w:ilvl="8" w:tplc="0426001B" w:tentative="1">
      <w:start w:val="1"/>
      <w:numFmt w:val="lowerRoman"/>
      <w:lvlText w:val="%9."/>
      <w:lvlJc w:val="right"/>
      <w:pPr>
        <w:ind w:left="6222" w:hanging="180"/>
      </w:pPr>
    </w:lvl>
  </w:abstractNum>
  <w:abstractNum w:abstractNumId="15" w15:restartNumberingAfterBreak="0">
    <w:nsid w:val="398571DE"/>
    <w:multiLevelType w:val="hybridMultilevel"/>
    <w:tmpl w:val="BF12953C"/>
    <w:lvl w:ilvl="0" w:tplc="FFFFFFFF">
      <w:start w:val="1"/>
      <w:numFmt w:val="decimal"/>
      <w:lvlText w:val="%1."/>
      <w:lvlJc w:val="left"/>
      <w:pPr>
        <w:ind w:left="858" w:hanging="360"/>
      </w:pPr>
    </w:lvl>
    <w:lvl w:ilvl="1" w:tplc="FFFFFFFF" w:tentative="1">
      <w:start w:val="1"/>
      <w:numFmt w:val="lowerLetter"/>
      <w:lvlText w:val="%2."/>
      <w:lvlJc w:val="left"/>
      <w:pPr>
        <w:ind w:left="1578" w:hanging="360"/>
      </w:pPr>
    </w:lvl>
    <w:lvl w:ilvl="2" w:tplc="FFFFFFFF" w:tentative="1">
      <w:start w:val="1"/>
      <w:numFmt w:val="lowerRoman"/>
      <w:lvlText w:val="%3."/>
      <w:lvlJc w:val="right"/>
      <w:pPr>
        <w:ind w:left="2298" w:hanging="180"/>
      </w:pPr>
    </w:lvl>
    <w:lvl w:ilvl="3" w:tplc="FFFFFFFF" w:tentative="1">
      <w:start w:val="1"/>
      <w:numFmt w:val="decimal"/>
      <w:lvlText w:val="%4."/>
      <w:lvlJc w:val="left"/>
      <w:pPr>
        <w:ind w:left="3018" w:hanging="360"/>
      </w:pPr>
    </w:lvl>
    <w:lvl w:ilvl="4" w:tplc="FFFFFFFF" w:tentative="1">
      <w:start w:val="1"/>
      <w:numFmt w:val="lowerLetter"/>
      <w:lvlText w:val="%5."/>
      <w:lvlJc w:val="left"/>
      <w:pPr>
        <w:ind w:left="3738" w:hanging="360"/>
      </w:pPr>
    </w:lvl>
    <w:lvl w:ilvl="5" w:tplc="FFFFFFFF" w:tentative="1">
      <w:start w:val="1"/>
      <w:numFmt w:val="lowerRoman"/>
      <w:lvlText w:val="%6."/>
      <w:lvlJc w:val="right"/>
      <w:pPr>
        <w:ind w:left="4458" w:hanging="180"/>
      </w:pPr>
    </w:lvl>
    <w:lvl w:ilvl="6" w:tplc="FFFFFFFF" w:tentative="1">
      <w:start w:val="1"/>
      <w:numFmt w:val="decimal"/>
      <w:lvlText w:val="%7."/>
      <w:lvlJc w:val="left"/>
      <w:pPr>
        <w:ind w:left="5178" w:hanging="360"/>
      </w:pPr>
    </w:lvl>
    <w:lvl w:ilvl="7" w:tplc="FFFFFFFF" w:tentative="1">
      <w:start w:val="1"/>
      <w:numFmt w:val="lowerLetter"/>
      <w:lvlText w:val="%8."/>
      <w:lvlJc w:val="left"/>
      <w:pPr>
        <w:ind w:left="5898" w:hanging="360"/>
      </w:pPr>
    </w:lvl>
    <w:lvl w:ilvl="8" w:tplc="FFFFFFFF" w:tentative="1">
      <w:start w:val="1"/>
      <w:numFmt w:val="lowerRoman"/>
      <w:lvlText w:val="%9."/>
      <w:lvlJc w:val="right"/>
      <w:pPr>
        <w:ind w:left="6618" w:hanging="180"/>
      </w:pPr>
    </w:lvl>
  </w:abstractNum>
  <w:abstractNum w:abstractNumId="16" w15:restartNumberingAfterBreak="0">
    <w:nsid w:val="3D442C13"/>
    <w:multiLevelType w:val="hybridMultilevel"/>
    <w:tmpl w:val="FB72CD4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DE238C5"/>
    <w:multiLevelType w:val="multilevel"/>
    <w:tmpl w:val="39501CEA"/>
    <w:lvl w:ilvl="0">
      <w:start w:val="1"/>
      <w:numFmt w:val="decimal"/>
      <w:lvlText w:val="%1."/>
      <w:lvlJc w:val="left"/>
      <w:pPr>
        <w:tabs>
          <w:tab w:val="num" w:pos="577"/>
        </w:tabs>
        <w:ind w:left="180" w:firstLine="0"/>
      </w:pPr>
      <w:rPr>
        <w:rFonts w:hint="default"/>
        <w:b w:val="0"/>
        <w:color w:val="auto"/>
      </w:rPr>
    </w:lvl>
    <w:lvl w:ilvl="1">
      <w:start w:val="1"/>
      <w:numFmt w:val="decimal"/>
      <w:pStyle w:val="Noteikumuapakpunkti"/>
      <w:lvlText w:val="%1.%2."/>
      <w:lvlJc w:val="left"/>
      <w:pPr>
        <w:tabs>
          <w:tab w:val="num" w:pos="860"/>
        </w:tabs>
        <w:ind w:left="180" w:firstLine="0"/>
      </w:pPr>
      <w:rPr>
        <w:rFonts w:hint="default"/>
        <w:b w:val="0"/>
        <w:color w:val="auto"/>
      </w:rPr>
    </w:lvl>
    <w:lvl w:ilvl="2">
      <w:start w:val="1"/>
      <w:numFmt w:val="decimal"/>
      <w:pStyle w:val="Noteikumuapakpunkti2"/>
      <w:lvlText w:val="%1.%2.%3."/>
      <w:lvlJc w:val="left"/>
      <w:pPr>
        <w:tabs>
          <w:tab w:val="num" w:pos="851"/>
        </w:tabs>
        <w:ind w:left="0" w:firstLine="0"/>
      </w:pPr>
      <w:rPr>
        <w:rFonts w:hint="default"/>
        <w:color w:val="auto"/>
      </w:rPr>
    </w:lvl>
    <w:lvl w:ilvl="3">
      <w:start w:val="1"/>
      <w:numFmt w:val="decimal"/>
      <w:pStyle w:val="Noteikumuapakpunkt3"/>
      <w:lvlText w:val="%1.%2.%3.%4."/>
      <w:lvlJc w:val="left"/>
      <w:pPr>
        <w:tabs>
          <w:tab w:val="num" w:pos="1134"/>
        </w:tabs>
        <w:ind w:left="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40166036"/>
    <w:multiLevelType w:val="multilevel"/>
    <w:tmpl w:val="F6FA599E"/>
    <w:lvl w:ilvl="0">
      <w:start w:val="1"/>
      <w:numFmt w:val="decimal"/>
      <w:pStyle w:val="Punkts1Lmenis"/>
      <w:lvlText w:val="%1."/>
      <w:lvlJc w:val="left"/>
      <w:pPr>
        <w:tabs>
          <w:tab w:val="num" w:pos="567"/>
        </w:tabs>
        <w:ind w:left="567" w:hanging="567"/>
      </w:pPr>
      <w:rPr>
        <w:rFonts w:cs="Times New Roman" w:hint="default"/>
      </w:rPr>
    </w:lvl>
    <w:lvl w:ilvl="1">
      <w:start w:val="1"/>
      <w:numFmt w:val="decimal"/>
      <w:pStyle w:val="Punkts2Lmenis"/>
      <w:isLgl/>
      <w:lvlText w:val="%1.%2."/>
      <w:lvlJc w:val="left"/>
      <w:pPr>
        <w:tabs>
          <w:tab w:val="num" w:pos="851"/>
        </w:tabs>
        <w:ind w:left="851" w:hanging="567"/>
      </w:pPr>
      <w:rPr>
        <w:rFonts w:cs="Times New Roman" w:hint="default"/>
      </w:rPr>
    </w:lvl>
    <w:lvl w:ilvl="2">
      <w:start w:val="1"/>
      <w:numFmt w:val="decimal"/>
      <w:pStyle w:val="Punkts3Lmenis"/>
      <w:lvlText w:val="%1.%2.%3."/>
      <w:lvlJc w:val="left"/>
      <w:pPr>
        <w:tabs>
          <w:tab w:val="num" w:pos="1021"/>
        </w:tabs>
        <w:ind w:left="1021" w:hanging="567"/>
      </w:pPr>
      <w:rPr>
        <w:rFonts w:cs="Times New Roman" w:hint="default"/>
      </w:rPr>
    </w:lvl>
    <w:lvl w:ilvl="3">
      <w:start w:val="1"/>
      <w:numFmt w:val="decimal"/>
      <w:lvlText w:val="%4."/>
      <w:lvlJc w:val="left"/>
      <w:pPr>
        <w:tabs>
          <w:tab w:val="num" w:pos="1248"/>
        </w:tabs>
        <w:ind w:left="1248" w:hanging="567"/>
      </w:pPr>
      <w:rPr>
        <w:rFonts w:cs="Times New Roman" w:hint="default"/>
      </w:rPr>
    </w:lvl>
    <w:lvl w:ilvl="4">
      <w:start w:val="1"/>
      <w:numFmt w:val="lowerLetter"/>
      <w:lvlText w:val="%5."/>
      <w:lvlJc w:val="left"/>
      <w:pPr>
        <w:tabs>
          <w:tab w:val="num" w:pos="1475"/>
        </w:tabs>
        <w:ind w:left="1475" w:hanging="567"/>
      </w:pPr>
      <w:rPr>
        <w:rFonts w:cs="Times New Roman" w:hint="default"/>
      </w:rPr>
    </w:lvl>
    <w:lvl w:ilvl="5">
      <w:start w:val="1"/>
      <w:numFmt w:val="lowerRoman"/>
      <w:lvlText w:val="%6."/>
      <w:lvlJc w:val="right"/>
      <w:pPr>
        <w:tabs>
          <w:tab w:val="num" w:pos="1702"/>
        </w:tabs>
        <w:ind w:left="1702" w:hanging="567"/>
      </w:pPr>
      <w:rPr>
        <w:rFonts w:cs="Times New Roman" w:hint="default"/>
      </w:rPr>
    </w:lvl>
    <w:lvl w:ilvl="6">
      <w:start w:val="1"/>
      <w:numFmt w:val="decimal"/>
      <w:lvlText w:val="%7."/>
      <w:lvlJc w:val="left"/>
      <w:pPr>
        <w:tabs>
          <w:tab w:val="num" w:pos="1929"/>
        </w:tabs>
        <w:ind w:left="1929" w:hanging="567"/>
      </w:pPr>
      <w:rPr>
        <w:rFonts w:cs="Times New Roman" w:hint="default"/>
      </w:rPr>
    </w:lvl>
    <w:lvl w:ilvl="7">
      <w:start w:val="1"/>
      <w:numFmt w:val="lowerLetter"/>
      <w:lvlText w:val="%8."/>
      <w:lvlJc w:val="left"/>
      <w:pPr>
        <w:tabs>
          <w:tab w:val="num" w:pos="2156"/>
        </w:tabs>
        <w:ind w:left="2156" w:hanging="567"/>
      </w:pPr>
      <w:rPr>
        <w:rFonts w:cs="Times New Roman" w:hint="default"/>
      </w:rPr>
    </w:lvl>
    <w:lvl w:ilvl="8">
      <w:start w:val="1"/>
      <w:numFmt w:val="lowerRoman"/>
      <w:lvlText w:val="%9."/>
      <w:lvlJc w:val="right"/>
      <w:pPr>
        <w:tabs>
          <w:tab w:val="num" w:pos="2383"/>
        </w:tabs>
        <w:ind w:left="2383" w:hanging="567"/>
      </w:pPr>
      <w:rPr>
        <w:rFonts w:cs="Times New Roman" w:hint="default"/>
      </w:rPr>
    </w:lvl>
  </w:abstractNum>
  <w:abstractNum w:abstractNumId="19" w15:restartNumberingAfterBreak="0">
    <w:nsid w:val="40C048E2"/>
    <w:multiLevelType w:val="multilevel"/>
    <w:tmpl w:val="0426001F"/>
    <w:lvl w:ilvl="0">
      <w:start w:val="1"/>
      <w:numFmt w:val="decimal"/>
      <w:lvlText w:val="%1."/>
      <w:lvlJc w:val="left"/>
      <w:pPr>
        <w:ind w:left="360" w:hanging="360"/>
      </w:pPr>
      <w:rPr>
        <w:rFonts w:hint="default"/>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3DF1010"/>
    <w:multiLevelType w:val="hybridMultilevel"/>
    <w:tmpl w:val="3134EBB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45353B5D"/>
    <w:multiLevelType w:val="hybridMultilevel"/>
    <w:tmpl w:val="7B469488"/>
    <w:lvl w:ilvl="0" w:tplc="4BF4231E">
      <w:start w:val="3"/>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4A9508E2"/>
    <w:multiLevelType w:val="hybridMultilevel"/>
    <w:tmpl w:val="2E8E766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5E0A6A59"/>
    <w:multiLevelType w:val="multilevel"/>
    <w:tmpl w:val="BB4CD740"/>
    <w:lvl w:ilvl="0">
      <w:start w:val="1"/>
      <w:numFmt w:val="decimal"/>
      <w:lvlText w:val="%1."/>
      <w:lvlJc w:val="left"/>
      <w:pPr>
        <w:ind w:left="72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5F8B16C1"/>
    <w:multiLevelType w:val="hybridMultilevel"/>
    <w:tmpl w:val="BF12953C"/>
    <w:lvl w:ilvl="0" w:tplc="FFFFFFFF">
      <w:start w:val="1"/>
      <w:numFmt w:val="decimal"/>
      <w:lvlText w:val="%1."/>
      <w:lvlJc w:val="left"/>
      <w:pPr>
        <w:ind w:left="858" w:hanging="360"/>
      </w:pPr>
    </w:lvl>
    <w:lvl w:ilvl="1" w:tplc="FFFFFFFF" w:tentative="1">
      <w:start w:val="1"/>
      <w:numFmt w:val="lowerLetter"/>
      <w:lvlText w:val="%2."/>
      <w:lvlJc w:val="left"/>
      <w:pPr>
        <w:ind w:left="1578" w:hanging="360"/>
      </w:pPr>
    </w:lvl>
    <w:lvl w:ilvl="2" w:tplc="FFFFFFFF" w:tentative="1">
      <w:start w:val="1"/>
      <w:numFmt w:val="lowerRoman"/>
      <w:lvlText w:val="%3."/>
      <w:lvlJc w:val="right"/>
      <w:pPr>
        <w:ind w:left="2298" w:hanging="180"/>
      </w:pPr>
    </w:lvl>
    <w:lvl w:ilvl="3" w:tplc="FFFFFFFF" w:tentative="1">
      <w:start w:val="1"/>
      <w:numFmt w:val="decimal"/>
      <w:lvlText w:val="%4."/>
      <w:lvlJc w:val="left"/>
      <w:pPr>
        <w:ind w:left="3018" w:hanging="360"/>
      </w:pPr>
    </w:lvl>
    <w:lvl w:ilvl="4" w:tplc="FFFFFFFF" w:tentative="1">
      <w:start w:val="1"/>
      <w:numFmt w:val="lowerLetter"/>
      <w:lvlText w:val="%5."/>
      <w:lvlJc w:val="left"/>
      <w:pPr>
        <w:ind w:left="3738" w:hanging="360"/>
      </w:pPr>
    </w:lvl>
    <w:lvl w:ilvl="5" w:tplc="FFFFFFFF" w:tentative="1">
      <w:start w:val="1"/>
      <w:numFmt w:val="lowerRoman"/>
      <w:lvlText w:val="%6."/>
      <w:lvlJc w:val="right"/>
      <w:pPr>
        <w:ind w:left="4458" w:hanging="180"/>
      </w:pPr>
    </w:lvl>
    <w:lvl w:ilvl="6" w:tplc="FFFFFFFF" w:tentative="1">
      <w:start w:val="1"/>
      <w:numFmt w:val="decimal"/>
      <w:lvlText w:val="%7."/>
      <w:lvlJc w:val="left"/>
      <w:pPr>
        <w:ind w:left="5178" w:hanging="360"/>
      </w:pPr>
    </w:lvl>
    <w:lvl w:ilvl="7" w:tplc="FFFFFFFF" w:tentative="1">
      <w:start w:val="1"/>
      <w:numFmt w:val="lowerLetter"/>
      <w:lvlText w:val="%8."/>
      <w:lvlJc w:val="left"/>
      <w:pPr>
        <w:ind w:left="5898" w:hanging="360"/>
      </w:pPr>
    </w:lvl>
    <w:lvl w:ilvl="8" w:tplc="FFFFFFFF" w:tentative="1">
      <w:start w:val="1"/>
      <w:numFmt w:val="lowerRoman"/>
      <w:lvlText w:val="%9."/>
      <w:lvlJc w:val="right"/>
      <w:pPr>
        <w:ind w:left="6618" w:hanging="180"/>
      </w:pPr>
    </w:lvl>
  </w:abstractNum>
  <w:abstractNum w:abstractNumId="25" w15:restartNumberingAfterBreak="0">
    <w:nsid w:val="637E31B0"/>
    <w:multiLevelType w:val="hybridMultilevel"/>
    <w:tmpl w:val="8F7AC978"/>
    <w:lvl w:ilvl="0" w:tplc="56C8AE62">
      <w:start w:val="1"/>
      <w:numFmt w:val="decimal"/>
      <w:lvlText w:val="%1."/>
      <w:lvlJc w:val="left"/>
      <w:pPr>
        <w:ind w:left="462" w:hanging="360"/>
      </w:pPr>
      <w:rPr>
        <w:rFonts w:hint="default"/>
      </w:rPr>
    </w:lvl>
    <w:lvl w:ilvl="1" w:tplc="04260019" w:tentative="1">
      <w:start w:val="1"/>
      <w:numFmt w:val="lowerLetter"/>
      <w:lvlText w:val="%2."/>
      <w:lvlJc w:val="left"/>
      <w:pPr>
        <w:ind w:left="1182" w:hanging="360"/>
      </w:pPr>
    </w:lvl>
    <w:lvl w:ilvl="2" w:tplc="0426001B" w:tentative="1">
      <w:start w:val="1"/>
      <w:numFmt w:val="lowerRoman"/>
      <w:lvlText w:val="%3."/>
      <w:lvlJc w:val="right"/>
      <w:pPr>
        <w:ind w:left="1902" w:hanging="180"/>
      </w:pPr>
    </w:lvl>
    <w:lvl w:ilvl="3" w:tplc="0426000F" w:tentative="1">
      <w:start w:val="1"/>
      <w:numFmt w:val="decimal"/>
      <w:lvlText w:val="%4."/>
      <w:lvlJc w:val="left"/>
      <w:pPr>
        <w:ind w:left="2622" w:hanging="360"/>
      </w:pPr>
    </w:lvl>
    <w:lvl w:ilvl="4" w:tplc="04260019" w:tentative="1">
      <w:start w:val="1"/>
      <w:numFmt w:val="lowerLetter"/>
      <w:lvlText w:val="%5."/>
      <w:lvlJc w:val="left"/>
      <w:pPr>
        <w:ind w:left="3342" w:hanging="360"/>
      </w:pPr>
    </w:lvl>
    <w:lvl w:ilvl="5" w:tplc="0426001B" w:tentative="1">
      <w:start w:val="1"/>
      <w:numFmt w:val="lowerRoman"/>
      <w:lvlText w:val="%6."/>
      <w:lvlJc w:val="right"/>
      <w:pPr>
        <w:ind w:left="4062" w:hanging="180"/>
      </w:pPr>
    </w:lvl>
    <w:lvl w:ilvl="6" w:tplc="0426000F" w:tentative="1">
      <w:start w:val="1"/>
      <w:numFmt w:val="decimal"/>
      <w:lvlText w:val="%7."/>
      <w:lvlJc w:val="left"/>
      <w:pPr>
        <w:ind w:left="4782" w:hanging="360"/>
      </w:pPr>
    </w:lvl>
    <w:lvl w:ilvl="7" w:tplc="04260019" w:tentative="1">
      <w:start w:val="1"/>
      <w:numFmt w:val="lowerLetter"/>
      <w:lvlText w:val="%8."/>
      <w:lvlJc w:val="left"/>
      <w:pPr>
        <w:ind w:left="5502" w:hanging="360"/>
      </w:pPr>
    </w:lvl>
    <w:lvl w:ilvl="8" w:tplc="0426001B" w:tentative="1">
      <w:start w:val="1"/>
      <w:numFmt w:val="lowerRoman"/>
      <w:lvlText w:val="%9."/>
      <w:lvlJc w:val="right"/>
      <w:pPr>
        <w:ind w:left="6222" w:hanging="180"/>
      </w:pPr>
    </w:lvl>
  </w:abstractNum>
  <w:abstractNum w:abstractNumId="26" w15:restartNumberingAfterBreak="0">
    <w:nsid w:val="71CC73FC"/>
    <w:multiLevelType w:val="hybridMultilevel"/>
    <w:tmpl w:val="BF12953C"/>
    <w:lvl w:ilvl="0" w:tplc="FFFFFFFF">
      <w:start w:val="1"/>
      <w:numFmt w:val="decimal"/>
      <w:lvlText w:val="%1."/>
      <w:lvlJc w:val="left"/>
      <w:pPr>
        <w:ind w:left="858" w:hanging="360"/>
      </w:pPr>
    </w:lvl>
    <w:lvl w:ilvl="1" w:tplc="FFFFFFFF" w:tentative="1">
      <w:start w:val="1"/>
      <w:numFmt w:val="lowerLetter"/>
      <w:lvlText w:val="%2."/>
      <w:lvlJc w:val="left"/>
      <w:pPr>
        <w:ind w:left="1578" w:hanging="360"/>
      </w:pPr>
    </w:lvl>
    <w:lvl w:ilvl="2" w:tplc="FFFFFFFF" w:tentative="1">
      <w:start w:val="1"/>
      <w:numFmt w:val="lowerRoman"/>
      <w:lvlText w:val="%3."/>
      <w:lvlJc w:val="right"/>
      <w:pPr>
        <w:ind w:left="2298" w:hanging="180"/>
      </w:pPr>
    </w:lvl>
    <w:lvl w:ilvl="3" w:tplc="FFFFFFFF" w:tentative="1">
      <w:start w:val="1"/>
      <w:numFmt w:val="decimal"/>
      <w:lvlText w:val="%4."/>
      <w:lvlJc w:val="left"/>
      <w:pPr>
        <w:ind w:left="3018" w:hanging="360"/>
      </w:pPr>
    </w:lvl>
    <w:lvl w:ilvl="4" w:tplc="FFFFFFFF" w:tentative="1">
      <w:start w:val="1"/>
      <w:numFmt w:val="lowerLetter"/>
      <w:lvlText w:val="%5."/>
      <w:lvlJc w:val="left"/>
      <w:pPr>
        <w:ind w:left="3738" w:hanging="360"/>
      </w:pPr>
    </w:lvl>
    <w:lvl w:ilvl="5" w:tplc="FFFFFFFF" w:tentative="1">
      <w:start w:val="1"/>
      <w:numFmt w:val="lowerRoman"/>
      <w:lvlText w:val="%6."/>
      <w:lvlJc w:val="right"/>
      <w:pPr>
        <w:ind w:left="4458" w:hanging="180"/>
      </w:pPr>
    </w:lvl>
    <w:lvl w:ilvl="6" w:tplc="FFFFFFFF" w:tentative="1">
      <w:start w:val="1"/>
      <w:numFmt w:val="decimal"/>
      <w:lvlText w:val="%7."/>
      <w:lvlJc w:val="left"/>
      <w:pPr>
        <w:ind w:left="5178" w:hanging="360"/>
      </w:pPr>
    </w:lvl>
    <w:lvl w:ilvl="7" w:tplc="FFFFFFFF" w:tentative="1">
      <w:start w:val="1"/>
      <w:numFmt w:val="lowerLetter"/>
      <w:lvlText w:val="%8."/>
      <w:lvlJc w:val="left"/>
      <w:pPr>
        <w:ind w:left="5898" w:hanging="360"/>
      </w:pPr>
    </w:lvl>
    <w:lvl w:ilvl="8" w:tplc="FFFFFFFF" w:tentative="1">
      <w:start w:val="1"/>
      <w:numFmt w:val="lowerRoman"/>
      <w:lvlText w:val="%9."/>
      <w:lvlJc w:val="right"/>
      <w:pPr>
        <w:ind w:left="6618" w:hanging="180"/>
      </w:pPr>
    </w:lvl>
  </w:abstractNum>
  <w:abstractNum w:abstractNumId="27" w15:restartNumberingAfterBreak="0">
    <w:nsid w:val="7BE3194B"/>
    <w:multiLevelType w:val="hybridMultilevel"/>
    <w:tmpl w:val="F94EF08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16608132">
    <w:abstractNumId w:val="19"/>
  </w:num>
  <w:num w:numId="2" w16cid:durableId="1201089699">
    <w:abstractNumId w:val="20"/>
  </w:num>
  <w:num w:numId="3" w16cid:durableId="1614556642">
    <w:abstractNumId w:val="17"/>
  </w:num>
  <w:num w:numId="4" w16cid:durableId="273026790">
    <w:abstractNumId w:val="2"/>
  </w:num>
  <w:num w:numId="5" w16cid:durableId="1989163761">
    <w:abstractNumId w:val="22"/>
  </w:num>
  <w:num w:numId="6" w16cid:durableId="694385280">
    <w:abstractNumId w:val="21"/>
  </w:num>
  <w:num w:numId="7" w16cid:durableId="547382257">
    <w:abstractNumId w:val="3"/>
  </w:num>
  <w:num w:numId="8" w16cid:durableId="1984504600">
    <w:abstractNumId w:val="13"/>
  </w:num>
  <w:num w:numId="9" w16cid:durableId="1218589116">
    <w:abstractNumId w:val="18"/>
  </w:num>
  <w:num w:numId="10" w16cid:durableId="1172987056">
    <w:abstractNumId w:val="23"/>
  </w:num>
  <w:num w:numId="11" w16cid:durableId="1315837440">
    <w:abstractNumId w:val="0"/>
  </w:num>
  <w:num w:numId="12" w16cid:durableId="1405489428">
    <w:abstractNumId w:val="11"/>
  </w:num>
  <w:num w:numId="13" w16cid:durableId="42289094">
    <w:abstractNumId w:val="25"/>
  </w:num>
  <w:num w:numId="14" w16cid:durableId="1635869432">
    <w:abstractNumId w:val="14"/>
  </w:num>
  <w:num w:numId="15" w16cid:durableId="1840152324">
    <w:abstractNumId w:val="7"/>
  </w:num>
  <w:num w:numId="16" w16cid:durableId="410740791">
    <w:abstractNumId w:val="6"/>
  </w:num>
  <w:num w:numId="17" w16cid:durableId="396322966">
    <w:abstractNumId w:val="4"/>
  </w:num>
  <w:num w:numId="18" w16cid:durableId="1584291962">
    <w:abstractNumId w:val="16"/>
  </w:num>
  <w:num w:numId="19" w16cid:durableId="957569993">
    <w:abstractNumId w:val="27"/>
  </w:num>
  <w:num w:numId="20" w16cid:durableId="2065056031">
    <w:abstractNumId w:val="5"/>
  </w:num>
  <w:num w:numId="21" w16cid:durableId="223030902">
    <w:abstractNumId w:val="9"/>
  </w:num>
  <w:num w:numId="22" w16cid:durableId="160127711">
    <w:abstractNumId w:val="12"/>
  </w:num>
  <w:num w:numId="23" w16cid:durableId="931544187">
    <w:abstractNumId w:val="8"/>
  </w:num>
  <w:num w:numId="24" w16cid:durableId="1758332148">
    <w:abstractNumId w:val="10"/>
  </w:num>
  <w:num w:numId="25" w16cid:durableId="301690259">
    <w:abstractNumId w:val="1"/>
  </w:num>
  <w:num w:numId="26" w16cid:durableId="402140992">
    <w:abstractNumId w:val="15"/>
  </w:num>
  <w:num w:numId="27" w16cid:durableId="1697465025">
    <w:abstractNumId w:val="26"/>
  </w:num>
  <w:num w:numId="28" w16cid:durableId="51688853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8193"/>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71F3"/>
    <w:rsid w:val="0004220D"/>
    <w:rsid w:val="00071BAD"/>
    <w:rsid w:val="000745D0"/>
    <w:rsid w:val="0008725B"/>
    <w:rsid w:val="000A1981"/>
    <w:rsid w:val="000A4E1C"/>
    <w:rsid w:val="000C2423"/>
    <w:rsid w:val="000E1B75"/>
    <w:rsid w:val="000E2DA3"/>
    <w:rsid w:val="00103A17"/>
    <w:rsid w:val="00111C14"/>
    <w:rsid w:val="00112946"/>
    <w:rsid w:val="001131F0"/>
    <w:rsid w:val="0011622C"/>
    <w:rsid w:val="001232E9"/>
    <w:rsid w:val="0012491B"/>
    <w:rsid w:val="00133ED3"/>
    <w:rsid w:val="00152624"/>
    <w:rsid w:val="001C685E"/>
    <w:rsid w:val="001D4E08"/>
    <w:rsid w:val="001E644E"/>
    <w:rsid w:val="001E66B2"/>
    <w:rsid w:val="001E72BE"/>
    <w:rsid w:val="002061D2"/>
    <w:rsid w:val="00261406"/>
    <w:rsid w:val="00281871"/>
    <w:rsid w:val="00293235"/>
    <w:rsid w:val="002A176B"/>
    <w:rsid w:val="002E3394"/>
    <w:rsid w:val="002F2998"/>
    <w:rsid w:val="002F3897"/>
    <w:rsid w:val="00300A40"/>
    <w:rsid w:val="00302F57"/>
    <w:rsid w:val="003640F5"/>
    <w:rsid w:val="00364F1C"/>
    <w:rsid w:val="00366FC7"/>
    <w:rsid w:val="00370C6D"/>
    <w:rsid w:val="003772E6"/>
    <w:rsid w:val="003A0C79"/>
    <w:rsid w:val="003A162B"/>
    <w:rsid w:val="003A2EF6"/>
    <w:rsid w:val="003A4F07"/>
    <w:rsid w:val="003A7C70"/>
    <w:rsid w:val="003B4245"/>
    <w:rsid w:val="003C2410"/>
    <w:rsid w:val="003D0983"/>
    <w:rsid w:val="003E5B2A"/>
    <w:rsid w:val="004274E1"/>
    <w:rsid w:val="004323CA"/>
    <w:rsid w:val="00433D45"/>
    <w:rsid w:val="00460C98"/>
    <w:rsid w:val="00474602"/>
    <w:rsid w:val="00491BD6"/>
    <w:rsid w:val="004B2663"/>
    <w:rsid w:val="004C0636"/>
    <w:rsid w:val="004C780A"/>
    <w:rsid w:val="004E1D25"/>
    <w:rsid w:val="00501AC7"/>
    <w:rsid w:val="0051752B"/>
    <w:rsid w:val="00532560"/>
    <w:rsid w:val="005425B4"/>
    <w:rsid w:val="005562B7"/>
    <w:rsid w:val="005563E1"/>
    <w:rsid w:val="005631DF"/>
    <w:rsid w:val="00567CAD"/>
    <w:rsid w:val="00570F26"/>
    <w:rsid w:val="005723AA"/>
    <w:rsid w:val="005946CB"/>
    <w:rsid w:val="005C3450"/>
    <w:rsid w:val="005C7872"/>
    <w:rsid w:val="005E59DB"/>
    <w:rsid w:val="00632D2C"/>
    <w:rsid w:val="006502C6"/>
    <w:rsid w:val="00653B1C"/>
    <w:rsid w:val="00692141"/>
    <w:rsid w:val="006B03E4"/>
    <w:rsid w:val="006B0E85"/>
    <w:rsid w:val="006D3155"/>
    <w:rsid w:val="006D7670"/>
    <w:rsid w:val="006E2C07"/>
    <w:rsid w:val="006E4108"/>
    <w:rsid w:val="006F2E38"/>
    <w:rsid w:val="00717F28"/>
    <w:rsid w:val="00730430"/>
    <w:rsid w:val="00735BA5"/>
    <w:rsid w:val="007446C7"/>
    <w:rsid w:val="007552D0"/>
    <w:rsid w:val="00760F3F"/>
    <w:rsid w:val="00793E67"/>
    <w:rsid w:val="007F401F"/>
    <w:rsid w:val="0081357A"/>
    <w:rsid w:val="00816234"/>
    <w:rsid w:val="00825D34"/>
    <w:rsid w:val="0083272A"/>
    <w:rsid w:val="00850B2A"/>
    <w:rsid w:val="008562A7"/>
    <w:rsid w:val="00866875"/>
    <w:rsid w:val="00866D3C"/>
    <w:rsid w:val="00892681"/>
    <w:rsid w:val="008A12DC"/>
    <w:rsid w:val="008B3799"/>
    <w:rsid w:val="008C6A94"/>
    <w:rsid w:val="008D66CA"/>
    <w:rsid w:val="008D7C22"/>
    <w:rsid w:val="008E4236"/>
    <w:rsid w:val="00905DDC"/>
    <w:rsid w:val="00915940"/>
    <w:rsid w:val="00923586"/>
    <w:rsid w:val="00935913"/>
    <w:rsid w:val="0094386E"/>
    <w:rsid w:val="00957591"/>
    <w:rsid w:val="00963063"/>
    <w:rsid w:val="00964388"/>
    <w:rsid w:val="00973E68"/>
    <w:rsid w:val="0097624E"/>
    <w:rsid w:val="009801C6"/>
    <w:rsid w:val="0098476A"/>
    <w:rsid w:val="009B6907"/>
    <w:rsid w:val="009D48D3"/>
    <w:rsid w:val="00A568E4"/>
    <w:rsid w:val="00A661E0"/>
    <w:rsid w:val="00A666EE"/>
    <w:rsid w:val="00A8670C"/>
    <w:rsid w:val="00A94DF9"/>
    <w:rsid w:val="00A97C3C"/>
    <w:rsid w:val="00AA6E6F"/>
    <w:rsid w:val="00AB52D0"/>
    <w:rsid w:val="00AE1502"/>
    <w:rsid w:val="00AE49CE"/>
    <w:rsid w:val="00AF5AF9"/>
    <w:rsid w:val="00B17229"/>
    <w:rsid w:val="00B36964"/>
    <w:rsid w:val="00B371B2"/>
    <w:rsid w:val="00B57E21"/>
    <w:rsid w:val="00B6173A"/>
    <w:rsid w:val="00B8731B"/>
    <w:rsid w:val="00BA1DF2"/>
    <w:rsid w:val="00BD1BB6"/>
    <w:rsid w:val="00BE18DC"/>
    <w:rsid w:val="00C02F3D"/>
    <w:rsid w:val="00C11571"/>
    <w:rsid w:val="00C2057F"/>
    <w:rsid w:val="00C33A5E"/>
    <w:rsid w:val="00C3659E"/>
    <w:rsid w:val="00C40F4B"/>
    <w:rsid w:val="00C47A91"/>
    <w:rsid w:val="00C546C8"/>
    <w:rsid w:val="00C56898"/>
    <w:rsid w:val="00C60798"/>
    <w:rsid w:val="00C82C94"/>
    <w:rsid w:val="00C8545C"/>
    <w:rsid w:val="00C87E1E"/>
    <w:rsid w:val="00C91874"/>
    <w:rsid w:val="00CA11A9"/>
    <w:rsid w:val="00CA77D3"/>
    <w:rsid w:val="00CB0A11"/>
    <w:rsid w:val="00CC32C7"/>
    <w:rsid w:val="00CC4624"/>
    <w:rsid w:val="00CC7431"/>
    <w:rsid w:val="00CD3B31"/>
    <w:rsid w:val="00CE4B75"/>
    <w:rsid w:val="00D06EE8"/>
    <w:rsid w:val="00D21351"/>
    <w:rsid w:val="00D36E2C"/>
    <w:rsid w:val="00DA0EE9"/>
    <w:rsid w:val="00DB401A"/>
    <w:rsid w:val="00DC5385"/>
    <w:rsid w:val="00DE7E38"/>
    <w:rsid w:val="00DF728E"/>
    <w:rsid w:val="00E23716"/>
    <w:rsid w:val="00E313DB"/>
    <w:rsid w:val="00E8248B"/>
    <w:rsid w:val="00EA64DA"/>
    <w:rsid w:val="00EB2B70"/>
    <w:rsid w:val="00EB3749"/>
    <w:rsid w:val="00F06A34"/>
    <w:rsid w:val="00F225B5"/>
    <w:rsid w:val="00F26F64"/>
    <w:rsid w:val="00F32FE1"/>
    <w:rsid w:val="00F371F3"/>
    <w:rsid w:val="00F6359D"/>
    <w:rsid w:val="00F65AFE"/>
    <w:rsid w:val="00F7682F"/>
    <w:rsid w:val="00FA6414"/>
    <w:rsid w:val="00FC462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5141311A"/>
  <w15:docId w15:val="{AE482F7E-0E23-4E61-9080-5A96A77FC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371F3"/>
    <w:rPr>
      <w:rFonts w:ascii="Times New Roman" w:hAnsi="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rsid w:val="00F371F3"/>
    <w:rPr>
      <w:rFonts w:ascii="Tahoma" w:hAnsi="Tahoma"/>
      <w:sz w:val="16"/>
      <w:szCs w:val="16"/>
      <w:lang w:val="x-none"/>
    </w:rPr>
  </w:style>
  <w:style w:type="character" w:customStyle="1" w:styleId="BalloonTextChar">
    <w:name w:val="Balloon Text Char"/>
    <w:link w:val="BalloonText"/>
    <w:semiHidden/>
    <w:locked/>
    <w:rsid w:val="00F371F3"/>
    <w:rPr>
      <w:rFonts w:ascii="Tahoma" w:hAnsi="Tahoma" w:cs="Tahoma"/>
      <w:sz w:val="16"/>
      <w:szCs w:val="16"/>
      <w:lang w:eastAsia="lv-LV"/>
    </w:rPr>
  </w:style>
  <w:style w:type="character" w:styleId="CommentReference">
    <w:name w:val="annotation reference"/>
    <w:uiPriority w:val="99"/>
    <w:semiHidden/>
    <w:rsid w:val="00300A40"/>
    <w:rPr>
      <w:rFonts w:cs="Times New Roman"/>
      <w:sz w:val="16"/>
      <w:szCs w:val="16"/>
    </w:rPr>
  </w:style>
  <w:style w:type="paragraph" w:styleId="CommentText">
    <w:name w:val="annotation text"/>
    <w:basedOn w:val="Normal"/>
    <w:link w:val="CommentTextChar"/>
    <w:uiPriority w:val="99"/>
    <w:semiHidden/>
    <w:rsid w:val="00300A40"/>
    <w:rPr>
      <w:sz w:val="20"/>
      <w:szCs w:val="20"/>
      <w:lang w:val="x-none"/>
    </w:rPr>
  </w:style>
  <w:style w:type="character" w:customStyle="1" w:styleId="CommentTextChar">
    <w:name w:val="Comment Text Char"/>
    <w:link w:val="CommentText"/>
    <w:uiPriority w:val="99"/>
    <w:semiHidden/>
    <w:locked/>
    <w:rsid w:val="00300A40"/>
    <w:rPr>
      <w:rFonts w:ascii="Times New Roman" w:hAnsi="Times New Roman" w:cs="Times New Roman"/>
      <w:sz w:val="20"/>
      <w:szCs w:val="20"/>
      <w:lang w:eastAsia="lv-LV"/>
    </w:rPr>
  </w:style>
  <w:style w:type="paragraph" w:styleId="CommentSubject">
    <w:name w:val="annotation subject"/>
    <w:basedOn w:val="CommentText"/>
    <w:next w:val="CommentText"/>
    <w:link w:val="CommentSubjectChar"/>
    <w:semiHidden/>
    <w:rsid w:val="00300A40"/>
    <w:rPr>
      <w:b/>
      <w:bCs/>
    </w:rPr>
  </w:style>
  <w:style w:type="character" w:customStyle="1" w:styleId="CommentSubjectChar">
    <w:name w:val="Comment Subject Char"/>
    <w:link w:val="CommentSubject"/>
    <w:semiHidden/>
    <w:locked/>
    <w:rsid w:val="00300A40"/>
    <w:rPr>
      <w:rFonts w:ascii="Times New Roman" w:hAnsi="Times New Roman" w:cs="Times New Roman"/>
      <w:b/>
      <w:bCs/>
      <w:sz w:val="20"/>
      <w:szCs w:val="20"/>
      <w:lang w:eastAsia="lv-LV"/>
    </w:rPr>
  </w:style>
  <w:style w:type="paragraph" w:customStyle="1" w:styleId="Noteikumutekstam">
    <w:name w:val="Noteikumu tekstam"/>
    <w:basedOn w:val="Normal"/>
    <w:link w:val="NoteikumutekstamRakstz"/>
    <w:autoRedefine/>
    <w:uiPriority w:val="99"/>
    <w:rsid w:val="003A2EF6"/>
    <w:pPr>
      <w:tabs>
        <w:tab w:val="left" w:pos="567"/>
      </w:tabs>
      <w:jc w:val="both"/>
    </w:pPr>
    <w:rPr>
      <w:rFonts w:eastAsia="Times New Roman"/>
      <w:sz w:val="22"/>
      <w:szCs w:val="22"/>
      <w:lang w:val="x-none" w:eastAsia="x-none"/>
    </w:rPr>
  </w:style>
  <w:style w:type="character" w:customStyle="1" w:styleId="NoteikumutekstamRakstz">
    <w:name w:val="Noteikumu tekstam Rakstz."/>
    <w:link w:val="Noteikumutekstam"/>
    <w:uiPriority w:val="99"/>
    <w:rsid w:val="003A2EF6"/>
    <w:rPr>
      <w:rFonts w:ascii="Times New Roman" w:eastAsia="Times New Roman" w:hAnsi="Times New Roman"/>
      <w:sz w:val="22"/>
      <w:szCs w:val="22"/>
    </w:rPr>
  </w:style>
  <w:style w:type="paragraph" w:customStyle="1" w:styleId="Noteikumuapakpunkti">
    <w:name w:val="Noteikumu apakšpunkti"/>
    <w:basedOn w:val="Normal"/>
    <w:uiPriority w:val="99"/>
    <w:rsid w:val="00261406"/>
    <w:pPr>
      <w:numPr>
        <w:ilvl w:val="1"/>
        <w:numId w:val="3"/>
      </w:numPr>
      <w:tabs>
        <w:tab w:val="left" w:pos="567"/>
      </w:tabs>
      <w:spacing w:after="120"/>
      <w:jc w:val="both"/>
    </w:pPr>
    <w:rPr>
      <w:rFonts w:eastAsia="Times New Roman"/>
      <w:sz w:val="22"/>
      <w:szCs w:val="22"/>
    </w:rPr>
  </w:style>
  <w:style w:type="paragraph" w:customStyle="1" w:styleId="Noteikumuapakpunkti2">
    <w:name w:val="Noteikumu apakšpunkti_2"/>
    <w:basedOn w:val="Noteikumuapakpunkti"/>
    <w:uiPriority w:val="99"/>
    <w:rsid w:val="00261406"/>
    <w:pPr>
      <w:numPr>
        <w:ilvl w:val="2"/>
      </w:numPr>
    </w:pPr>
  </w:style>
  <w:style w:type="paragraph" w:customStyle="1" w:styleId="Noteikumuapakpunkt3">
    <w:name w:val="Noteikumu apakšpunkt_3"/>
    <w:basedOn w:val="Noteikumuapakpunkti2"/>
    <w:uiPriority w:val="99"/>
    <w:rsid w:val="00261406"/>
    <w:pPr>
      <w:numPr>
        <w:ilvl w:val="3"/>
      </w:numPr>
    </w:pPr>
  </w:style>
  <w:style w:type="paragraph" w:styleId="ListParagraph">
    <w:name w:val="List Paragraph"/>
    <w:basedOn w:val="Normal"/>
    <w:uiPriority w:val="34"/>
    <w:qFormat/>
    <w:rsid w:val="00A97C3C"/>
    <w:pPr>
      <w:spacing w:after="200" w:line="276" w:lineRule="auto"/>
      <w:ind w:left="720"/>
      <w:contextualSpacing/>
    </w:pPr>
    <w:rPr>
      <w:lang w:eastAsia="en-US"/>
    </w:rPr>
  </w:style>
  <w:style w:type="paragraph" w:customStyle="1" w:styleId="Punkts1Lmenis">
    <w:name w:val="Punkts 1.Līmenis"/>
    <w:basedOn w:val="Normal"/>
    <w:link w:val="Punkts1LmenisChar"/>
    <w:rsid w:val="003B4245"/>
    <w:pPr>
      <w:keepLines/>
      <w:numPr>
        <w:numId w:val="9"/>
      </w:numPr>
      <w:shd w:val="clear" w:color="auto" w:fill="FFFFFF"/>
      <w:spacing w:before="20" w:after="20"/>
      <w:jc w:val="both"/>
    </w:pPr>
    <w:rPr>
      <w:szCs w:val="28"/>
      <w:lang w:val="x-none" w:eastAsia="x-none"/>
    </w:rPr>
  </w:style>
  <w:style w:type="character" w:customStyle="1" w:styleId="Punkts1LmenisChar">
    <w:name w:val="Punkts 1.Līmenis Char"/>
    <w:link w:val="Punkts1Lmenis"/>
    <w:locked/>
    <w:rsid w:val="003B4245"/>
    <w:rPr>
      <w:rFonts w:ascii="Times New Roman" w:hAnsi="Times New Roman"/>
      <w:sz w:val="24"/>
      <w:szCs w:val="28"/>
      <w:shd w:val="clear" w:color="auto" w:fill="FFFFFF"/>
    </w:rPr>
  </w:style>
  <w:style w:type="paragraph" w:customStyle="1" w:styleId="Punkts2Lmenis">
    <w:name w:val="Punkts 2.Līmenis"/>
    <w:basedOn w:val="Punkts1Lmenis"/>
    <w:rsid w:val="003B4245"/>
    <w:pPr>
      <w:numPr>
        <w:ilvl w:val="1"/>
      </w:numPr>
      <w:tabs>
        <w:tab w:val="clear" w:pos="851"/>
        <w:tab w:val="num" w:pos="360"/>
      </w:tabs>
    </w:pPr>
  </w:style>
  <w:style w:type="paragraph" w:customStyle="1" w:styleId="Punkts3Lmenis">
    <w:name w:val="Punkts 3.Līmenis"/>
    <w:basedOn w:val="Punkts2Lmenis"/>
    <w:rsid w:val="003B4245"/>
    <w:pPr>
      <w:numPr>
        <w:ilvl w:val="2"/>
      </w:numPr>
      <w:tabs>
        <w:tab w:val="clear" w:pos="1021"/>
        <w:tab w:val="num" w:pos="360"/>
      </w:tabs>
    </w:pPr>
  </w:style>
  <w:style w:type="paragraph" w:customStyle="1" w:styleId="Lister">
    <w:name w:val="Lister"/>
    <w:basedOn w:val="Normal"/>
    <w:link w:val="ListerChar"/>
    <w:rsid w:val="003B4245"/>
    <w:rPr>
      <w:szCs w:val="28"/>
      <w:lang w:val="x-none" w:eastAsia="x-none"/>
    </w:rPr>
  </w:style>
  <w:style w:type="character" w:customStyle="1" w:styleId="ListerChar">
    <w:name w:val="Lister Char"/>
    <w:link w:val="Lister"/>
    <w:locked/>
    <w:rsid w:val="003B4245"/>
    <w:rPr>
      <w:rFonts w:ascii="Times New Roman" w:hAnsi="Times New Roman"/>
      <w:sz w:val="24"/>
      <w:szCs w:val="28"/>
    </w:rPr>
  </w:style>
  <w:style w:type="paragraph" w:styleId="Header">
    <w:name w:val="header"/>
    <w:basedOn w:val="Normal"/>
    <w:link w:val="HeaderChar"/>
    <w:rsid w:val="00BD1BB6"/>
    <w:pPr>
      <w:tabs>
        <w:tab w:val="center" w:pos="4153"/>
        <w:tab w:val="right" w:pos="8306"/>
      </w:tabs>
    </w:pPr>
    <w:rPr>
      <w:lang w:val="x-none" w:eastAsia="x-none"/>
    </w:rPr>
  </w:style>
  <w:style w:type="character" w:customStyle="1" w:styleId="HeaderChar">
    <w:name w:val="Header Char"/>
    <w:link w:val="Header"/>
    <w:rsid w:val="00BD1BB6"/>
    <w:rPr>
      <w:rFonts w:ascii="Times New Roman" w:hAnsi="Times New Roman"/>
      <w:sz w:val="24"/>
      <w:szCs w:val="24"/>
    </w:rPr>
  </w:style>
  <w:style w:type="paragraph" w:styleId="Footer">
    <w:name w:val="footer"/>
    <w:basedOn w:val="Normal"/>
    <w:link w:val="FooterChar"/>
    <w:uiPriority w:val="99"/>
    <w:rsid w:val="00BD1BB6"/>
    <w:pPr>
      <w:tabs>
        <w:tab w:val="center" w:pos="4153"/>
        <w:tab w:val="right" w:pos="8306"/>
      </w:tabs>
    </w:pPr>
    <w:rPr>
      <w:lang w:val="x-none" w:eastAsia="x-none"/>
    </w:rPr>
  </w:style>
  <w:style w:type="character" w:customStyle="1" w:styleId="FooterChar">
    <w:name w:val="Footer Char"/>
    <w:link w:val="Footer"/>
    <w:uiPriority w:val="99"/>
    <w:rsid w:val="00BD1BB6"/>
    <w:rPr>
      <w:rFonts w:ascii="Times New Roman" w:hAnsi="Times New Roman"/>
      <w:sz w:val="24"/>
      <w:szCs w:val="24"/>
    </w:rPr>
  </w:style>
  <w:style w:type="paragraph" w:customStyle="1" w:styleId="naisf">
    <w:name w:val="naisf"/>
    <w:basedOn w:val="Normal"/>
    <w:rsid w:val="005563E1"/>
    <w:pPr>
      <w:spacing w:before="100" w:beforeAutospacing="1" w:after="100" w:afterAutospacing="1"/>
      <w:jc w:val="both"/>
    </w:pPr>
    <w:rPr>
      <w:rFonts w:eastAsia="Times New Roman"/>
      <w:lang w:val="en-GB" w:eastAsia="en-US"/>
    </w:rPr>
  </w:style>
  <w:style w:type="character" w:styleId="Hyperlink">
    <w:name w:val="Hyperlink"/>
    <w:uiPriority w:val="99"/>
    <w:unhideWhenUsed/>
    <w:rsid w:val="00964388"/>
    <w:rPr>
      <w:color w:val="0000FF"/>
      <w:u w:val="single"/>
    </w:rPr>
  </w:style>
  <w:style w:type="paragraph" w:customStyle="1" w:styleId="tv213">
    <w:name w:val="tv213"/>
    <w:basedOn w:val="Normal"/>
    <w:rsid w:val="0004220D"/>
    <w:pPr>
      <w:spacing w:before="100" w:beforeAutospacing="1" w:after="100" w:afterAutospacing="1"/>
    </w:pPr>
    <w:rPr>
      <w:rFonts w:eastAsia="Times New Roman"/>
    </w:rPr>
  </w:style>
  <w:style w:type="character" w:styleId="FollowedHyperlink">
    <w:name w:val="FollowedHyperlink"/>
    <w:basedOn w:val="DefaultParagraphFont"/>
    <w:semiHidden/>
    <w:unhideWhenUsed/>
    <w:rsid w:val="00653B1C"/>
    <w:rPr>
      <w:color w:val="800080" w:themeColor="followedHyperlink"/>
      <w:u w:val="single"/>
    </w:rPr>
  </w:style>
  <w:style w:type="paragraph" w:styleId="FootnoteText">
    <w:name w:val="footnote text"/>
    <w:basedOn w:val="Normal"/>
    <w:link w:val="FootnoteTextChar"/>
    <w:semiHidden/>
    <w:unhideWhenUsed/>
    <w:rsid w:val="001E644E"/>
    <w:rPr>
      <w:sz w:val="20"/>
      <w:szCs w:val="20"/>
    </w:rPr>
  </w:style>
  <w:style w:type="character" w:customStyle="1" w:styleId="FootnoteTextChar">
    <w:name w:val="Footnote Text Char"/>
    <w:basedOn w:val="DefaultParagraphFont"/>
    <w:link w:val="FootnoteText"/>
    <w:semiHidden/>
    <w:rsid w:val="001E644E"/>
    <w:rPr>
      <w:rFonts w:ascii="Times New Roman" w:hAnsi="Times New Roman"/>
    </w:rPr>
  </w:style>
  <w:style w:type="character" w:styleId="FootnoteReference">
    <w:name w:val="footnote reference"/>
    <w:basedOn w:val="DefaultParagraphFont"/>
    <w:semiHidden/>
    <w:unhideWhenUsed/>
    <w:rsid w:val="001E644E"/>
    <w:rPr>
      <w:vertAlign w:val="superscript"/>
    </w:rPr>
  </w:style>
  <w:style w:type="paragraph" w:styleId="EndnoteText">
    <w:name w:val="endnote text"/>
    <w:basedOn w:val="Normal"/>
    <w:link w:val="EndnoteTextChar"/>
    <w:semiHidden/>
    <w:unhideWhenUsed/>
    <w:rsid w:val="005723AA"/>
    <w:rPr>
      <w:sz w:val="20"/>
      <w:szCs w:val="20"/>
    </w:rPr>
  </w:style>
  <w:style w:type="character" w:customStyle="1" w:styleId="EndnoteTextChar">
    <w:name w:val="Endnote Text Char"/>
    <w:basedOn w:val="DefaultParagraphFont"/>
    <w:link w:val="EndnoteText"/>
    <w:semiHidden/>
    <w:rsid w:val="005723AA"/>
    <w:rPr>
      <w:rFonts w:ascii="Times New Roman" w:hAnsi="Times New Roman"/>
    </w:rPr>
  </w:style>
  <w:style w:type="character" w:styleId="EndnoteReference">
    <w:name w:val="endnote reference"/>
    <w:basedOn w:val="DefaultParagraphFont"/>
    <w:semiHidden/>
    <w:unhideWhenUsed/>
    <w:rsid w:val="005723A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0466496">
      <w:bodyDiv w:val="1"/>
      <w:marLeft w:val="0"/>
      <w:marRight w:val="0"/>
      <w:marTop w:val="0"/>
      <w:marBottom w:val="0"/>
      <w:divBdr>
        <w:top w:val="none" w:sz="0" w:space="0" w:color="auto"/>
        <w:left w:val="none" w:sz="0" w:space="0" w:color="auto"/>
        <w:bottom w:val="none" w:sz="0" w:space="0" w:color="auto"/>
        <w:right w:val="none" w:sz="0" w:space="0" w:color="auto"/>
      </w:divBdr>
    </w:div>
    <w:div w:id="621498010">
      <w:bodyDiv w:val="1"/>
      <w:marLeft w:val="0"/>
      <w:marRight w:val="0"/>
      <w:marTop w:val="0"/>
      <w:marBottom w:val="0"/>
      <w:divBdr>
        <w:top w:val="none" w:sz="0" w:space="0" w:color="auto"/>
        <w:left w:val="none" w:sz="0" w:space="0" w:color="auto"/>
        <w:bottom w:val="none" w:sz="0" w:space="0" w:color="auto"/>
        <w:right w:val="none" w:sz="0" w:space="0" w:color="auto"/>
      </w:divBdr>
    </w:div>
    <w:div w:id="654334399">
      <w:bodyDiv w:val="1"/>
      <w:marLeft w:val="0"/>
      <w:marRight w:val="0"/>
      <w:marTop w:val="0"/>
      <w:marBottom w:val="0"/>
      <w:divBdr>
        <w:top w:val="none" w:sz="0" w:space="0" w:color="auto"/>
        <w:left w:val="none" w:sz="0" w:space="0" w:color="auto"/>
        <w:bottom w:val="none" w:sz="0" w:space="0" w:color="auto"/>
        <w:right w:val="none" w:sz="0" w:space="0" w:color="auto"/>
      </w:divBdr>
    </w:div>
    <w:div w:id="765421010">
      <w:bodyDiv w:val="1"/>
      <w:marLeft w:val="0"/>
      <w:marRight w:val="0"/>
      <w:marTop w:val="0"/>
      <w:marBottom w:val="0"/>
      <w:divBdr>
        <w:top w:val="none" w:sz="0" w:space="0" w:color="auto"/>
        <w:left w:val="none" w:sz="0" w:space="0" w:color="auto"/>
        <w:bottom w:val="none" w:sz="0" w:space="0" w:color="auto"/>
        <w:right w:val="none" w:sz="0" w:space="0" w:color="auto"/>
      </w:divBdr>
    </w:div>
    <w:div w:id="1354723915">
      <w:bodyDiv w:val="1"/>
      <w:marLeft w:val="0"/>
      <w:marRight w:val="0"/>
      <w:marTop w:val="0"/>
      <w:marBottom w:val="0"/>
      <w:divBdr>
        <w:top w:val="none" w:sz="0" w:space="0" w:color="auto"/>
        <w:left w:val="none" w:sz="0" w:space="0" w:color="auto"/>
        <w:bottom w:val="none" w:sz="0" w:space="0" w:color="auto"/>
        <w:right w:val="none" w:sz="0" w:space="0" w:color="auto"/>
      </w:divBdr>
    </w:div>
    <w:div w:id="1407652007">
      <w:bodyDiv w:val="1"/>
      <w:marLeft w:val="0"/>
      <w:marRight w:val="0"/>
      <w:marTop w:val="0"/>
      <w:marBottom w:val="0"/>
      <w:divBdr>
        <w:top w:val="none" w:sz="0" w:space="0" w:color="auto"/>
        <w:left w:val="none" w:sz="0" w:space="0" w:color="auto"/>
        <w:bottom w:val="none" w:sz="0" w:space="0" w:color="auto"/>
        <w:right w:val="none" w:sz="0" w:space="0" w:color="auto"/>
      </w:divBdr>
    </w:div>
    <w:div w:id="1720543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253451" TargetMode="External"/><Relationship Id="rId13" Type="http://schemas.openxmlformats.org/officeDocument/2006/relationships/hyperlink" Target="https://likumi.lv/ta/id/301436"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ikumi.lv/ta/id/328707"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ikumi.lv/ta/id/253451"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likumi.lv/ta/id/324249" TargetMode="External"/><Relationship Id="rId4" Type="http://schemas.openxmlformats.org/officeDocument/2006/relationships/settings" Target="settings.xml"/><Relationship Id="rId9" Type="http://schemas.openxmlformats.org/officeDocument/2006/relationships/hyperlink" Target="https://likumi.lv/ta/id/324249"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58DF2C-1911-4E2B-89EC-6636E9F7A2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4</Pages>
  <Words>1187</Words>
  <Characters>8952</Characters>
  <Application>Microsoft Office Word</Application>
  <DocSecurity>0</DocSecurity>
  <Lines>74</Lines>
  <Paragraphs>20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Attiecināmās izmaksas un izmaksas apliecinošie dokumenti</vt:lpstr>
    </vt:vector>
  </TitlesOfParts>
  <Company>Hewlett-Packard Company</Company>
  <LinksUpToDate>false</LinksUpToDate>
  <CharactersWithSpaces>10119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vita.madjare</dc:creator>
  <cp:lastModifiedBy>Gints Kārkliņš</cp:lastModifiedBy>
  <cp:revision>7</cp:revision>
  <cp:lastPrinted>2014-09-29T10:05:00Z</cp:lastPrinted>
  <dcterms:created xsi:type="dcterms:W3CDTF">2018-12-21T15:32:00Z</dcterms:created>
  <dcterms:modified xsi:type="dcterms:W3CDTF">2025-04-13T19:07:00Z</dcterms:modified>
</cp:coreProperties>
</file>