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F580" w14:textId="77777777" w:rsidR="00AB59BD" w:rsidRPr="00C21EAA" w:rsidRDefault="00AB59BD" w:rsidP="00AB59BD">
      <w:pPr>
        <w:jc w:val="center"/>
        <w:rPr>
          <w:b/>
        </w:rPr>
      </w:pPr>
      <w:r w:rsidRPr="00C21EAA">
        <w:rPr>
          <w:b/>
        </w:rPr>
        <w:t>Atbildes uz uzdotajiem jautājumiem par</w:t>
      </w:r>
    </w:p>
    <w:p w14:paraId="030A13B3" w14:textId="77777777" w:rsidR="00880642" w:rsidRDefault="00880642" w:rsidP="00AB59BD">
      <w:pPr>
        <w:jc w:val="center"/>
        <w:rPr>
          <w:b/>
        </w:rPr>
      </w:pPr>
      <w:r w:rsidRPr="00880642">
        <w:rPr>
          <w:b/>
        </w:rPr>
        <w:t>Modernizācijas fonda finansēto projektu atklāta konkursa</w:t>
      </w:r>
    </w:p>
    <w:p w14:paraId="71AD81C1" w14:textId="19AFA999" w:rsidR="00AB59BD" w:rsidRPr="00C21EAA" w:rsidRDefault="00880642" w:rsidP="00AB59BD">
      <w:pPr>
        <w:jc w:val="center"/>
        <w:rPr>
          <w:b/>
        </w:rPr>
      </w:pPr>
      <w:r>
        <w:rPr>
          <w:b/>
        </w:rPr>
        <w:t>“</w:t>
      </w:r>
      <w:r w:rsidRPr="00880642">
        <w:rPr>
          <w:b/>
        </w:rPr>
        <w:t>Energoefektivitātes paaugstināšana transporta sektorā – atbalsts elektromobiļu un to uzlādes infrastruktūras ieviešanai</w:t>
      </w:r>
      <w:r>
        <w:rPr>
          <w:b/>
        </w:rPr>
        <w:t>”</w:t>
      </w:r>
      <w:r w:rsidRPr="00880642">
        <w:rPr>
          <w:b/>
        </w:rPr>
        <w:t xml:space="preserve"> nolikums</w:t>
      </w:r>
    </w:p>
    <w:p w14:paraId="2857BB61" w14:textId="77777777" w:rsidR="00AB59BD" w:rsidRPr="00C21EAA" w:rsidRDefault="00AB59BD" w:rsidP="00AB59BD"/>
    <w:p w14:paraId="48BC523A" w14:textId="77777777" w:rsidR="00AB59BD" w:rsidRPr="00C21EAA" w:rsidRDefault="00AB59BD" w:rsidP="00AB59BD">
      <w:pPr>
        <w:rPr>
          <w:i/>
        </w:rPr>
      </w:pPr>
      <w:r w:rsidRPr="00C21EAA">
        <w:rPr>
          <w:i/>
        </w:rPr>
        <w:t xml:space="preserve">Lietotie saīsinājumi: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82"/>
        <w:gridCol w:w="12278"/>
      </w:tblGrid>
      <w:tr w:rsidR="00545726" w:rsidRPr="00C21EAA" w14:paraId="04F706C8" w14:textId="77777777" w:rsidTr="005447DA">
        <w:trPr>
          <w:trHeight w:val="56"/>
        </w:trPr>
        <w:tc>
          <w:tcPr>
            <w:tcW w:w="2282" w:type="dxa"/>
          </w:tcPr>
          <w:p w14:paraId="28773EB8" w14:textId="77777777" w:rsidR="00545726" w:rsidRPr="00C21EAA" w:rsidRDefault="00545726" w:rsidP="00BA064C">
            <w:pPr>
              <w:rPr>
                <w:b/>
                <w:sz w:val="20"/>
                <w:szCs w:val="20"/>
              </w:rPr>
            </w:pPr>
            <w:r w:rsidRPr="00C21EAA">
              <w:rPr>
                <w:b/>
                <w:sz w:val="20"/>
                <w:szCs w:val="20"/>
              </w:rPr>
              <w:t>CO</w:t>
            </w:r>
            <w:r w:rsidRPr="00C21EAA">
              <w:rPr>
                <w:b/>
                <w:sz w:val="20"/>
                <w:szCs w:val="20"/>
                <w:vertAlign w:val="subscript"/>
              </w:rPr>
              <w:t>2</w:t>
            </w:r>
          </w:p>
        </w:tc>
        <w:tc>
          <w:tcPr>
            <w:tcW w:w="12278" w:type="dxa"/>
          </w:tcPr>
          <w:p w14:paraId="01ADD5FD" w14:textId="77777777" w:rsidR="00545726" w:rsidRPr="00C21EAA" w:rsidRDefault="00545726" w:rsidP="00BA064C">
            <w:pPr>
              <w:rPr>
                <w:sz w:val="20"/>
                <w:szCs w:val="20"/>
              </w:rPr>
            </w:pPr>
            <w:r w:rsidRPr="00C21EAA">
              <w:rPr>
                <w:sz w:val="20"/>
                <w:szCs w:val="20"/>
              </w:rPr>
              <w:t>Oglekļa dioksīds</w:t>
            </w:r>
          </w:p>
        </w:tc>
      </w:tr>
      <w:tr w:rsidR="005447DA" w:rsidRPr="00C21EAA" w14:paraId="700FC958" w14:textId="77777777" w:rsidTr="005447DA">
        <w:tc>
          <w:tcPr>
            <w:tcW w:w="2282" w:type="dxa"/>
          </w:tcPr>
          <w:p w14:paraId="6FB19CAC" w14:textId="77777777" w:rsidR="005447DA" w:rsidRPr="00C21EAA" w:rsidRDefault="005447DA" w:rsidP="00D14ECA">
            <w:pPr>
              <w:rPr>
                <w:b/>
                <w:sz w:val="20"/>
                <w:szCs w:val="20"/>
              </w:rPr>
            </w:pPr>
            <w:r w:rsidRPr="00C21EAA">
              <w:rPr>
                <w:b/>
                <w:sz w:val="20"/>
                <w:szCs w:val="20"/>
              </w:rPr>
              <w:t>Fonds</w:t>
            </w:r>
          </w:p>
        </w:tc>
        <w:tc>
          <w:tcPr>
            <w:tcW w:w="12278" w:type="dxa"/>
          </w:tcPr>
          <w:p w14:paraId="0BD4716B" w14:textId="77777777" w:rsidR="005447DA" w:rsidRPr="00C21EAA" w:rsidRDefault="005447DA" w:rsidP="00D14ECA">
            <w:pPr>
              <w:rPr>
                <w:sz w:val="20"/>
                <w:szCs w:val="20"/>
              </w:rPr>
            </w:pPr>
            <w:r w:rsidRPr="00C21EAA">
              <w:rPr>
                <w:sz w:val="20"/>
                <w:szCs w:val="20"/>
              </w:rPr>
              <w:t>Valsts sabiedrība ar ierobežotu atbildību “Vides investīciju fonds”</w:t>
            </w:r>
          </w:p>
        </w:tc>
      </w:tr>
      <w:tr w:rsidR="005447DA" w:rsidRPr="00C21EAA" w14:paraId="4F60F739" w14:textId="77777777" w:rsidTr="007637D2">
        <w:tc>
          <w:tcPr>
            <w:tcW w:w="2282" w:type="dxa"/>
          </w:tcPr>
          <w:p w14:paraId="38B8B239" w14:textId="77777777" w:rsidR="005447DA" w:rsidRPr="00C21EAA" w:rsidRDefault="005447DA" w:rsidP="007637D2">
            <w:pPr>
              <w:rPr>
                <w:b/>
                <w:sz w:val="20"/>
                <w:szCs w:val="20"/>
              </w:rPr>
            </w:pPr>
            <w:r w:rsidRPr="00C21EAA">
              <w:rPr>
                <w:b/>
                <w:sz w:val="20"/>
                <w:szCs w:val="20"/>
              </w:rPr>
              <w:t>KEM</w:t>
            </w:r>
          </w:p>
        </w:tc>
        <w:tc>
          <w:tcPr>
            <w:tcW w:w="12278" w:type="dxa"/>
          </w:tcPr>
          <w:p w14:paraId="209A028F" w14:textId="77777777" w:rsidR="005447DA" w:rsidRPr="00C21EAA" w:rsidRDefault="005447DA" w:rsidP="007637D2">
            <w:pPr>
              <w:rPr>
                <w:sz w:val="20"/>
                <w:szCs w:val="20"/>
              </w:rPr>
            </w:pPr>
            <w:r w:rsidRPr="00C21EAA">
              <w:rPr>
                <w:sz w:val="20"/>
                <w:szCs w:val="20"/>
              </w:rPr>
              <w:t>Klimata un enerģētikas ministrija</w:t>
            </w:r>
          </w:p>
        </w:tc>
      </w:tr>
      <w:tr w:rsidR="005447DA" w:rsidRPr="00C21EAA" w14:paraId="12638923" w14:textId="77777777" w:rsidTr="00741729">
        <w:tc>
          <w:tcPr>
            <w:tcW w:w="2282" w:type="dxa"/>
          </w:tcPr>
          <w:p w14:paraId="03D52A87" w14:textId="77777777" w:rsidR="005447DA" w:rsidRPr="00C21EAA" w:rsidRDefault="005447DA" w:rsidP="00741729">
            <w:pPr>
              <w:rPr>
                <w:b/>
                <w:sz w:val="20"/>
                <w:szCs w:val="20"/>
              </w:rPr>
            </w:pPr>
            <w:r>
              <w:rPr>
                <w:b/>
                <w:sz w:val="20"/>
                <w:szCs w:val="20"/>
              </w:rPr>
              <w:t>Konkurss</w:t>
            </w:r>
          </w:p>
        </w:tc>
        <w:tc>
          <w:tcPr>
            <w:tcW w:w="12278" w:type="dxa"/>
          </w:tcPr>
          <w:p w14:paraId="23CD347E" w14:textId="77777777" w:rsidR="005447DA" w:rsidRPr="00C21EAA" w:rsidRDefault="005447DA" w:rsidP="00741729">
            <w:pPr>
              <w:rPr>
                <w:sz w:val="20"/>
                <w:szCs w:val="20"/>
              </w:rPr>
            </w:pPr>
            <w:r w:rsidRPr="009D5759">
              <w:rPr>
                <w:sz w:val="20"/>
                <w:szCs w:val="20"/>
              </w:rPr>
              <w:t>Energoefektivitātes paaugstināšana transporta sektorā – atbalsts elektromobiļu un to uzlādes infrastruktūras ieviešanai</w:t>
            </w:r>
          </w:p>
        </w:tc>
      </w:tr>
      <w:tr w:rsidR="00545726" w:rsidRPr="00C21EAA" w14:paraId="72159615" w14:textId="77777777" w:rsidTr="005447DA">
        <w:tc>
          <w:tcPr>
            <w:tcW w:w="2282" w:type="dxa"/>
          </w:tcPr>
          <w:p w14:paraId="6C53C3A5" w14:textId="44B92DCD" w:rsidR="00545726" w:rsidRPr="00C21EAA" w:rsidRDefault="00880642" w:rsidP="00E71C6E">
            <w:pPr>
              <w:rPr>
                <w:b/>
                <w:sz w:val="20"/>
                <w:szCs w:val="20"/>
              </w:rPr>
            </w:pPr>
            <w:r>
              <w:rPr>
                <w:b/>
                <w:sz w:val="20"/>
                <w:szCs w:val="20"/>
              </w:rPr>
              <w:t>MF</w:t>
            </w:r>
          </w:p>
        </w:tc>
        <w:tc>
          <w:tcPr>
            <w:tcW w:w="12278" w:type="dxa"/>
          </w:tcPr>
          <w:p w14:paraId="64858A40" w14:textId="1B74A629" w:rsidR="00545726" w:rsidRPr="00C21EAA" w:rsidRDefault="00880642" w:rsidP="00E71C6E">
            <w:pPr>
              <w:rPr>
                <w:sz w:val="20"/>
                <w:szCs w:val="20"/>
              </w:rPr>
            </w:pPr>
            <w:r>
              <w:rPr>
                <w:sz w:val="20"/>
                <w:szCs w:val="20"/>
              </w:rPr>
              <w:t>Modernizācijas fonds</w:t>
            </w:r>
            <w:r w:rsidR="00545726" w:rsidRPr="00C21EAA">
              <w:rPr>
                <w:sz w:val="20"/>
                <w:szCs w:val="20"/>
              </w:rPr>
              <w:t xml:space="preserve"> (turpmāk tekstā arī – finanšu instruments)</w:t>
            </w:r>
          </w:p>
        </w:tc>
      </w:tr>
      <w:tr w:rsidR="00AB59BD" w:rsidRPr="00C21EAA" w14:paraId="35574A43" w14:textId="77777777" w:rsidTr="005447DA">
        <w:tc>
          <w:tcPr>
            <w:tcW w:w="2282" w:type="dxa"/>
          </w:tcPr>
          <w:p w14:paraId="39F00157" w14:textId="77777777" w:rsidR="00AB59BD" w:rsidRPr="00C21EAA" w:rsidRDefault="00AB59BD" w:rsidP="00F87C4A">
            <w:pPr>
              <w:rPr>
                <w:b/>
                <w:sz w:val="20"/>
                <w:szCs w:val="20"/>
              </w:rPr>
            </w:pPr>
            <w:r w:rsidRPr="00C21EAA">
              <w:rPr>
                <w:b/>
                <w:sz w:val="20"/>
                <w:szCs w:val="20"/>
              </w:rPr>
              <w:t>MK</w:t>
            </w:r>
          </w:p>
        </w:tc>
        <w:tc>
          <w:tcPr>
            <w:tcW w:w="12278" w:type="dxa"/>
          </w:tcPr>
          <w:p w14:paraId="47702C10" w14:textId="77777777" w:rsidR="00AB59BD" w:rsidRPr="00C21EAA" w:rsidRDefault="00AB59BD" w:rsidP="00F87C4A">
            <w:pPr>
              <w:rPr>
                <w:sz w:val="20"/>
                <w:szCs w:val="20"/>
              </w:rPr>
            </w:pPr>
            <w:r w:rsidRPr="00C21EAA">
              <w:rPr>
                <w:sz w:val="20"/>
                <w:szCs w:val="20"/>
              </w:rPr>
              <w:t>Ministru kabinets</w:t>
            </w:r>
          </w:p>
        </w:tc>
      </w:tr>
      <w:tr w:rsidR="00AB59BD" w:rsidRPr="00C21EAA" w14:paraId="0941F568" w14:textId="77777777" w:rsidTr="005447DA">
        <w:tc>
          <w:tcPr>
            <w:tcW w:w="2282" w:type="dxa"/>
          </w:tcPr>
          <w:p w14:paraId="70C8CE1E" w14:textId="23D19CDC" w:rsidR="00AB59BD" w:rsidRPr="00C21EAA" w:rsidRDefault="00AB59BD" w:rsidP="00266A78">
            <w:pPr>
              <w:rPr>
                <w:b/>
                <w:sz w:val="20"/>
                <w:szCs w:val="20"/>
              </w:rPr>
            </w:pPr>
            <w:r w:rsidRPr="00C21EAA">
              <w:rPr>
                <w:b/>
                <w:sz w:val="20"/>
                <w:szCs w:val="20"/>
              </w:rPr>
              <w:t>MK noteikumi Nr.</w:t>
            </w:r>
            <w:r w:rsidR="00266A78" w:rsidRPr="00C21EAA">
              <w:rPr>
                <w:b/>
                <w:sz w:val="20"/>
                <w:szCs w:val="20"/>
              </w:rPr>
              <w:t xml:space="preserve"> </w:t>
            </w:r>
            <w:r w:rsidR="00880642">
              <w:rPr>
                <w:b/>
                <w:sz w:val="20"/>
                <w:szCs w:val="20"/>
              </w:rPr>
              <w:t>701</w:t>
            </w:r>
          </w:p>
        </w:tc>
        <w:tc>
          <w:tcPr>
            <w:tcW w:w="12278" w:type="dxa"/>
          </w:tcPr>
          <w:p w14:paraId="629856AC" w14:textId="4CF6356B" w:rsidR="00AB59BD" w:rsidRPr="00C21EAA" w:rsidRDefault="00AB59BD" w:rsidP="00545726">
            <w:pPr>
              <w:rPr>
                <w:sz w:val="20"/>
                <w:szCs w:val="20"/>
              </w:rPr>
            </w:pPr>
            <w:r w:rsidRPr="00C21EAA">
              <w:rPr>
                <w:sz w:val="20"/>
                <w:szCs w:val="20"/>
              </w:rPr>
              <w:t>Ministru kabineta 20</w:t>
            </w:r>
            <w:r w:rsidR="00880642">
              <w:rPr>
                <w:sz w:val="20"/>
                <w:szCs w:val="20"/>
              </w:rPr>
              <w:t>24</w:t>
            </w:r>
            <w:r w:rsidRPr="00C21EAA">
              <w:rPr>
                <w:sz w:val="20"/>
                <w:szCs w:val="20"/>
              </w:rPr>
              <w:t>.</w:t>
            </w:r>
            <w:r w:rsidR="00545726" w:rsidRPr="00C21EAA">
              <w:rPr>
                <w:sz w:val="20"/>
                <w:szCs w:val="20"/>
              </w:rPr>
              <w:t xml:space="preserve"> </w:t>
            </w:r>
            <w:r w:rsidRPr="00C21EAA">
              <w:rPr>
                <w:sz w:val="20"/>
                <w:szCs w:val="20"/>
              </w:rPr>
              <w:t xml:space="preserve">gada </w:t>
            </w:r>
            <w:r w:rsidR="00880642">
              <w:rPr>
                <w:sz w:val="20"/>
                <w:szCs w:val="20"/>
              </w:rPr>
              <w:t>5</w:t>
            </w:r>
            <w:r w:rsidRPr="00C21EAA">
              <w:rPr>
                <w:sz w:val="20"/>
                <w:szCs w:val="20"/>
              </w:rPr>
              <w:t>.</w:t>
            </w:r>
            <w:r w:rsidR="00545726" w:rsidRPr="00C21EAA">
              <w:rPr>
                <w:sz w:val="20"/>
                <w:szCs w:val="20"/>
              </w:rPr>
              <w:t xml:space="preserve"> </w:t>
            </w:r>
            <w:r w:rsidR="00880642">
              <w:rPr>
                <w:sz w:val="20"/>
                <w:szCs w:val="20"/>
              </w:rPr>
              <w:t>novembra</w:t>
            </w:r>
            <w:r w:rsidRPr="00C21EAA">
              <w:rPr>
                <w:sz w:val="20"/>
                <w:szCs w:val="20"/>
              </w:rPr>
              <w:t xml:space="preserve"> noteikumi Nr.</w:t>
            </w:r>
            <w:r w:rsidR="00545726" w:rsidRPr="00C21EAA">
              <w:rPr>
                <w:sz w:val="20"/>
                <w:szCs w:val="20"/>
              </w:rPr>
              <w:t xml:space="preserve"> </w:t>
            </w:r>
            <w:r w:rsidR="00880642">
              <w:rPr>
                <w:sz w:val="20"/>
                <w:szCs w:val="20"/>
              </w:rPr>
              <w:t>701</w:t>
            </w:r>
            <w:r w:rsidRPr="00C21EAA">
              <w:rPr>
                <w:sz w:val="20"/>
                <w:szCs w:val="20"/>
              </w:rPr>
              <w:t xml:space="preserve"> </w:t>
            </w:r>
            <w:r w:rsidR="00545726" w:rsidRPr="00C21EAA">
              <w:rPr>
                <w:sz w:val="20"/>
                <w:szCs w:val="20"/>
              </w:rPr>
              <w:t>“</w:t>
            </w:r>
            <w:r w:rsidR="00880642" w:rsidRPr="00880642">
              <w:rPr>
                <w:sz w:val="20"/>
                <w:szCs w:val="20"/>
              </w:rPr>
              <w:t>Modernizācijas fonda finansēto projektu atklāta konkursa</w:t>
            </w:r>
            <w:r w:rsidR="00545726" w:rsidRPr="00C21EAA">
              <w:rPr>
                <w:sz w:val="20"/>
                <w:szCs w:val="20"/>
              </w:rPr>
              <w:t xml:space="preserve"> “</w:t>
            </w:r>
            <w:r w:rsidR="00880642" w:rsidRPr="00880642">
              <w:rPr>
                <w:sz w:val="20"/>
                <w:szCs w:val="20"/>
              </w:rPr>
              <w:t>Energoefektivitātes paaugstināšana transporta sektorā – atbalsts elektromobiļu un to uzlādes infrastruktūras ieviešanai</w:t>
            </w:r>
            <w:r w:rsidR="00545726" w:rsidRPr="00C21EAA">
              <w:rPr>
                <w:sz w:val="20"/>
                <w:szCs w:val="20"/>
              </w:rPr>
              <w:t>” nolikums</w:t>
            </w:r>
            <w:r w:rsidRPr="00C21EAA">
              <w:rPr>
                <w:sz w:val="20"/>
                <w:szCs w:val="20"/>
              </w:rPr>
              <w:t>”</w:t>
            </w:r>
            <w:r w:rsidR="00545726" w:rsidRPr="00C21EAA">
              <w:rPr>
                <w:sz w:val="20"/>
                <w:szCs w:val="20"/>
              </w:rPr>
              <w:t xml:space="preserve"> (</w:t>
            </w:r>
            <w:hyperlink r:id="rId8" w:history="1">
              <w:r w:rsidR="00880642">
                <w:rPr>
                  <w:rStyle w:val="Hyperlink"/>
                  <w:sz w:val="20"/>
                  <w:szCs w:val="20"/>
                </w:rPr>
                <w:t>https://likumi.lv/ta/id/356200</w:t>
              </w:r>
            </w:hyperlink>
            <w:r w:rsidR="00545726" w:rsidRPr="00C21EAA">
              <w:rPr>
                <w:sz w:val="20"/>
                <w:szCs w:val="20"/>
              </w:rPr>
              <w:t>)</w:t>
            </w:r>
          </w:p>
        </w:tc>
      </w:tr>
      <w:tr w:rsidR="00545726" w:rsidRPr="00C21EAA" w14:paraId="56520D76" w14:textId="77777777" w:rsidTr="005447DA">
        <w:trPr>
          <w:trHeight w:val="56"/>
        </w:trPr>
        <w:tc>
          <w:tcPr>
            <w:tcW w:w="2282" w:type="dxa"/>
          </w:tcPr>
          <w:p w14:paraId="14334D7E" w14:textId="77777777" w:rsidR="00545726" w:rsidRPr="00C21EAA" w:rsidRDefault="00545726" w:rsidP="0043255E">
            <w:pPr>
              <w:rPr>
                <w:b/>
                <w:sz w:val="20"/>
                <w:szCs w:val="20"/>
              </w:rPr>
            </w:pPr>
            <w:r w:rsidRPr="00C21EAA">
              <w:rPr>
                <w:b/>
                <w:sz w:val="20"/>
                <w:szCs w:val="20"/>
              </w:rPr>
              <w:t>N/A</w:t>
            </w:r>
          </w:p>
        </w:tc>
        <w:tc>
          <w:tcPr>
            <w:tcW w:w="12278" w:type="dxa"/>
          </w:tcPr>
          <w:p w14:paraId="0F30985E" w14:textId="77777777" w:rsidR="00545726" w:rsidRPr="00C21EAA" w:rsidRDefault="00545726" w:rsidP="0043255E">
            <w:pPr>
              <w:rPr>
                <w:sz w:val="20"/>
                <w:szCs w:val="20"/>
              </w:rPr>
            </w:pPr>
            <w:r w:rsidRPr="00C21EAA">
              <w:rPr>
                <w:sz w:val="20"/>
                <w:szCs w:val="20"/>
              </w:rPr>
              <w:t>Nav attiecināms</w:t>
            </w:r>
          </w:p>
        </w:tc>
      </w:tr>
      <w:tr w:rsidR="005447DA" w:rsidRPr="00C21EAA" w14:paraId="38741B35" w14:textId="77777777" w:rsidTr="005447DA">
        <w:trPr>
          <w:trHeight w:val="56"/>
        </w:trPr>
        <w:tc>
          <w:tcPr>
            <w:tcW w:w="2282" w:type="dxa"/>
          </w:tcPr>
          <w:p w14:paraId="4CEDE7F4" w14:textId="293867D0" w:rsidR="005447DA" w:rsidRPr="00C21EAA" w:rsidRDefault="005447DA" w:rsidP="0043255E">
            <w:pPr>
              <w:rPr>
                <w:b/>
                <w:sz w:val="20"/>
                <w:szCs w:val="20"/>
              </w:rPr>
            </w:pPr>
            <w:r>
              <w:rPr>
                <w:b/>
                <w:sz w:val="20"/>
                <w:szCs w:val="20"/>
              </w:rPr>
              <w:t xml:space="preserve">Regula </w:t>
            </w:r>
            <w:r w:rsidRPr="005447DA">
              <w:rPr>
                <w:b/>
                <w:sz w:val="20"/>
                <w:szCs w:val="20"/>
              </w:rPr>
              <w:t>Nr. 2023/2831</w:t>
            </w:r>
          </w:p>
        </w:tc>
        <w:tc>
          <w:tcPr>
            <w:tcW w:w="12278" w:type="dxa"/>
          </w:tcPr>
          <w:p w14:paraId="5DE86B95" w14:textId="4A1BCF10" w:rsidR="005447DA" w:rsidRPr="00C21EAA" w:rsidRDefault="005447DA" w:rsidP="0043255E">
            <w:pPr>
              <w:rPr>
                <w:sz w:val="20"/>
                <w:szCs w:val="20"/>
              </w:rPr>
            </w:pPr>
            <w:r w:rsidRPr="005447DA">
              <w:rPr>
                <w:sz w:val="20"/>
                <w:szCs w:val="20"/>
              </w:rPr>
              <w:t>Komisijas 2023. gada 13. decembra Regul</w:t>
            </w:r>
            <w:r>
              <w:rPr>
                <w:sz w:val="20"/>
                <w:szCs w:val="20"/>
              </w:rPr>
              <w:t>a</w:t>
            </w:r>
            <w:r w:rsidRPr="005447DA">
              <w:rPr>
                <w:sz w:val="20"/>
                <w:szCs w:val="20"/>
              </w:rPr>
              <w:t xml:space="preserve"> (ES) Nr. 2023/2831</w:t>
            </w:r>
            <w:r>
              <w:rPr>
                <w:sz w:val="20"/>
                <w:szCs w:val="20"/>
              </w:rPr>
              <w:t xml:space="preserve"> (</w:t>
            </w:r>
            <w:hyperlink r:id="rId9" w:history="1">
              <w:r w:rsidRPr="00CA03FE">
                <w:rPr>
                  <w:rStyle w:val="Hyperlink"/>
                  <w:sz w:val="20"/>
                  <w:szCs w:val="20"/>
                </w:rPr>
                <w:t>https://eur-lex.europa.eu/eli/reg/2023/2831/oj/?locale=LV</w:t>
              </w:r>
            </w:hyperlink>
            <w:r>
              <w:rPr>
                <w:sz w:val="20"/>
                <w:szCs w:val="20"/>
              </w:rPr>
              <w:t>)</w:t>
            </w:r>
          </w:p>
        </w:tc>
      </w:tr>
      <w:tr w:rsidR="005447DA" w:rsidRPr="00C21EAA" w14:paraId="2E2C97EC" w14:textId="77777777" w:rsidTr="005447DA">
        <w:trPr>
          <w:trHeight w:val="56"/>
        </w:trPr>
        <w:tc>
          <w:tcPr>
            <w:tcW w:w="2282" w:type="dxa"/>
          </w:tcPr>
          <w:p w14:paraId="3FE813B9" w14:textId="3DF19BE2" w:rsidR="005447DA" w:rsidRDefault="005447DA" w:rsidP="0043255E">
            <w:pPr>
              <w:rPr>
                <w:b/>
                <w:sz w:val="20"/>
                <w:szCs w:val="20"/>
              </w:rPr>
            </w:pPr>
            <w:r>
              <w:rPr>
                <w:b/>
                <w:sz w:val="20"/>
                <w:szCs w:val="20"/>
              </w:rPr>
              <w:t xml:space="preserve">Regula </w:t>
            </w:r>
            <w:r w:rsidRPr="005447DA">
              <w:rPr>
                <w:b/>
                <w:sz w:val="20"/>
                <w:szCs w:val="20"/>
              </w:rPr>
              <w:t>Nr. 651/2014</w:t>
            </w:r>
          </w:p>
        </w:tc>
        <w:tc>
          <w:tcPr>
            <w:tcW w:w="12278" w:type="dxa"/>
          </w:tcPr>
          <w:p w14:paraId="4549757A" w14:textId="63473945" w:rsidR="005447DA" w:rsidRPr="00C21EAA" w:rsidRDefault="005447DA" w:rsidP="0043255E">
            <w:pPr>
              <w:rPr>
                <w:sz w:val="20"/>
                <w:szCs w:val="20"/>
              </w:rPr>
            </w:pPr>
            <w:r w:rsidRPr="005447DA">
              <w:rPr>
                <w:sz w:val="20"/>
                <w:szCs w:val="20"/>
              </w:rPr>
              <w:t>Komisijas 2014. gada 17. jūnija regula (ES) Nr.  651/2014</w:t>
            </w:r>
            <w:r>
              <w:rPr>
                <w:sz w:val="20"/>
                <w:szCs w:val="20"/>
              </w:rPr>
              <w:t xml:space="preserve"> (</w:t>
            </w:r>
            <w:hyperlink r:id="rId10" w:history="1">
              <w:r w:rsidRPr="00CA03FE">
                <w:rPr>
                  <w:rStyle w:val="Hyperlink"/>
                  <w:sz w:val="20"/>
                  <w:szCs w:val="20"/>
                </w:rPr>
                <w:t>https://eur-lex.europa.eu/legal-content/LV/TXT/?uri=CELEX%3A02014R0651-20230701</w:t>
              </w:r>
            </w:hyperlink>
            <w:r>
              <w:rPr>
                <w:sz w:val="20"/>
                <w:szCs w:val="20"/>
              </w:rPr>
              <w:t>)</w:t>
            </w:r>
          </w:p>
        </w:tc>
      </w:tr>
    </w:tbl>
    <w:p w14:paraId="2CC7AC74" w14:textId="77777777" w:rsidR="00E557A1" w:rsidRPr="00C21EAA" w:rsidRDefault="00E557A1" w:rsidP="00AB59BD"/>
    <w:tbl>
      <w:tblPr>
        <w:tblStyle w:val="TableGrid"/>
        <w:tblW w:w="5000" w:type="pct"/>
        <w:tblLayout w:type="fixed"/>
        <w:tblCellMar>
          <w:left w:w="28" w:type="dxa"/>
          <w:right w:w="28" w:type="dxa"/>
        </w:tblCellMar>
        <w:tblLook w:val="04A0" w:firstRow="1" w:lastRow="0" w:firstColumn="1" w:lastColumn="0" w:noHBand="0" w:noVBand="1"/>
      </w:tblPr>
      <w:tblGrid>
        <w:gridCol w:w="644"/>
        <w:gridCol w:w="6722"/>
        <w:gridCol w:w="7194"/>
      </w:tblGrid>
      <w:tr w:rsidR="00AB59BD" w:rsidRPr="00C21EAA" w14:paraId="7DE983CE" w14:textId="77777777" w:rsidTr="00880642">
        <w:trPr>
          <w:cantSplit/>
          <w:tblHeader/>
        </w:trPr>
        <w:tc>
          <w:tcPr>
            <w:tcW w:w="644" w:type="dxa"/>
            <w:shd w:val="clear" w:color="auto" w:fill="C2D69B" w:themeFill="accent3" w:themeFillTint="99"/>
            <w:vAlign w:val="center"/>
          </w:tcPr>
          <w:p w14:paraId="7BAD185A" w14:textId="77777777" w:rsidR="00AB59BD" w:rsidRPr="00C21EAA" w:rsidRDefault="00AB59BD" w:rsidP="00AB59BD">
            <w:pPr>
              <w:jc w:val="center"/>
              <w:rPr>
                <w:b/>
              </w:rPr>
            </w:pPr>
            <w:bookmarkStart w:id="0" w:name="_Hlk174433769"/>
            <w:bookmarkStart w:id="1" w:name="_Hlk174432876"/>
            <w:r w:rsidRPr="00C21EAA">
              <w:rPr>
                <w:b/>
              </w:rPr>
              <w:t>Nr.p.k.</w:t>
            </w:r>
          </w:p>
        </w:tc>
        <w:tc>
          <w:tcPr>
            <w:tcW w:w="6722" w:type="dxa"/>
            <w:shd w:val="clear" w:color="auto" w:fill="C2D69B" w:themeFill="accent3" w:themeFillTint="99"/>
            <w:vAlign w:val="center"/>
          </w:tcPr>
          <w:p w14:paraId="3A8C2DA1" w14:textId="77777777" w:rsidR="00AB59BD" w:rsidRPr="00C21EAA" w:rsidRDefault="00AB59BD" w:rsidP="00F87C4A">
            <w:pPr>
              <w:rPr>
                <w:b/>
              </w:rPr>
            </w:pPr>
            <w:r w:rsidRPr="00C21EAA">
              <w:rPr>
                <w:b/>
              </w:rPr>
              <w:t>Jautājums</w:t>
            </w:r>
          </w:p>
        </w:tc>
        <w:tc>
          <w:tcPr>
            <w:tcW w:w="7194" w:type="dxa"/>
            <w:shd w:val="clear" w:color="auto" w:fill="C2D69B" w:themeFill="accent3" w:themeFillTint="99"/>
            <w:vAlign w:val="center"/>
          </w:tcPr>
          <w:p w14:paraId="2EBF59EC" w14:textId="77777777" w:rsidR="00AB59BD" w:rsidRPr="00C21EAA" w:rsidRDefault="00AB59BD" w:rsidP="00F87C4A">
            <w:pPr>
              <w:rPr>
                <w:b/>
              </w:rPr>
            </w:pPr>
            <w:r w:rsidRPr="00C21EAA">
              <w:rPr>
                <w:b/>
              </w:rPr>
              <w:t>Atbilde</w:t>
            </w:r>
          </w:p>
        </w:tc>
      </w:tr>
      <w:tr w:rsidR="00AB59BD" w:rsidRPr="00C21EAA" w14:paraId="5914A9C3" w14:textId="77777777" w:rsidTr="00880642">
        <w:trPr>
          <w:cantSplit/>
        </w:trPr>
        <w:tc>
          <w:tcPr>
            <w:tcW w:w="644" w:type="dxa"/>
          </w:tcPr>
          <w:p w14:paraId="02726436" w14:textId="3983F200" w:rsidR="00AB59BD" w:rsidRPr="00C21EAA" w:rsidRDefault="00183B55" w:rsidP="00AB59BD">
            <w:pPr>
              <w:jc w:val="center"/>
              <w:rPr>
                <w:szCs w:val="22"/>
              </w:rPr>
            </w:pPr>
            <w:r w:rsidRPr="00C21EAA">
              <w:rPr>
                <w:szCs w:val="22"/>
              </w:rPr>
              <w:t>1.</w:t>
            </w:r>
          </w:p>
        </w:tc>
        <w:tc>
          <w:tcPr>
            <w:tcW w:w="6722" w:type="dxa"/>
          </w:tcPr>
          <w:p w14:paraId="6E334A81" w14:textId="1DECF5A1" w:rsidR="00AB59BD" w:rsidRPr="00C21EAA" w:rsidRDefault="009D5759" w:rsidP="00183B55">
            <w:pPr>
              <w:jc w:val="both"/>
              <w:rPr>
                <w:szCs w:val="22"/>
              </w:rPr>
            </w:pPr>
            <w:r>
              <w:rPr>
                <w:szCs w:val="22"/>
              </w:rPr>
              <w:t>V</w:t>
            </w:r>
            <w:r w:rsidRPr="009D5759">
              <w:rPr>
                <w:szCs w:val="22"/>
              </w:rPr>
              <w:t xml:space="preserve">ai </w:t>
            </w:r>
            <w:r>
              <w:rPr>
                <w:szCs w:val="22"/>
              </w:rPr>
              <w:t>konkursā</w:t>
            </w:r>
            <w:r w:rsidRPr="009D5759">
              <w:rPr>
                <w:szCs w:val="22"/>
              </w:rPr>
              <w:t xml:space="preserve"> var pieteikties, ja </w:t>
            </w:r>
            <w:proofErr w:type="spellStart"/>
            <w:r w:rsidRPr="009D5759">
              <w:rPr>
                <w:szCs w:val="22"/>
              </w:rPr>
              <w:t>elektro</w:t>
            </w:r>
            <w:proofErr w:type="spellEnd"/>
            <w:r w:rsidRPr="009D5759">
              <w:rPr>
                <w:szCs w:val="22"/>
              </w:rPr>
              <w:t xml:space="preserve"> auto tiek iegādāts kā pilna servisa auto noma uz 36 mēnešiem</w:t>
            </w:r>
            <w:r>
              <w:rPr>
                <w:szCs w:val="22"/>
              </w:rPr>
              <w:t>?</w:t>
            </w:r>
          </w:p>
        </w:tc>
        <w:tc>
          <w:tcPr>
            <w:tcW w:w="7194" w:type="dxa"/>
          </w:tcPr>
          <w:p w14:paraId="40BE216A" w14:textId="1CC91E0E" w:rsidR="00AB59BD" w:rsidRPr="009D5759" w:rsidRDefault="009D5759" w:rsidP="0000041C">
            <w:pPr>
              <w:jc w:val="both"/>
              <w:rPr>
                <w:rFonts w:eastAsiaTheme="minorHAnsi"/>
                <w:szCs w:val="22"/>
              </w:rPr>
            </w:pPr>
            <w:r w:rsidRPr="009D5759">
              <w:rPr>
                <w:rFonts w:eastAsiaTheme="minorHAnsi"/>
                <w:szCs w:val="22"/>
              </w:rPr>
              <w:t>MK noteikum</w:t>
            </w:r>
            <w:r>
              <w:rPr>
                <w:rFonts w:eastAsiaTheme="minorHAnsi"/>
                <w:szCs w:val="22"/>
              </w:rPr>
              <w:t>u</w:t>
            </w:r>
            <w:r w:rsidRPr="009D5759">
              <w:rPr>
                <w:rFonts w:eastAsiaTheme="minorHAnsi"/>
                <w:szCs w:val="22"/>
              </w:rPr>
              <w:t xml:space="preserve"> Nr. 701</w:t>
            </w:r>
            <w:r>
              <w:rPr>
                <w:rFonts w:eastAsiaTheme="minorHAnsi"/>
                <w:szCs w:val="22"/>
              </w:rPr>
              <w:t xml:space="preserve"> 21.3. apakšpunkts noteikts, ka </w:t>
            </w:r>
            <w:r w:rsidRPr="009D5759">
              <w:rPr>
                <w:rFonts w:eastAsiaTheme="minorHAnsi"/>
                <w:b/>
                <w:bCs/>
                <w:szCs w:val="22"/>
              </w:rPr>
              <w:t>nomas darījuma izmaksas nav attiecināmas izmaksas</w:t>
            </w:r>
            <w:r>
              <w:rPr>
                <w:rFonts w:eastAsiaTheme="minorHAnsi"/>
                <w:szCs w:val="22"/>
              </w:rPr>
              <w:t xml:space="preserve">. Papildus norādām, ka </w:t>
            </w:r>
            <w:r w:rsidRPr="009D5759">
              <w:rPr>
                <w:rFonts w:eastAsiaTheme="minorHAnsi"/>
                <w:szCs w:val="22"/>
              </w:rPr>
              <w:t>MK noteikum</w:t>
            </w:r>
            <w:r>
              <w:rPr>
                <w:rFonts w:eastAsiaTheme="minorHAnsi"/>
                <w:szCs w:val="22"/>
              </w:rPr>
              <w:t>os</w:t>
            </w:r>
            <w:r w:rsidRPr="009D5759">
              <w:rPr>
                <w:rFonts w:eastAsiaTheme="minorHAnsi"/>
                <w:szCs w:val="22"/>
              </w:rPr>
              <w:t xml:space="preserve"> Nr.</w:t>
            </w:r>
            <w:r>
              <w:rPr>
                <w:rFonts w:eastAsiaTheme="minorHAnsi"/>
                <w:szCs w:val="22"/>
              </w:rPr>
              <w:t> </w:t>
            </w:r>
            <w:r w:rsidRPr="009D5759">
              <w:rPr>
                <w:rFonts w:eastAsiaTheme="minorHAnsi"/>
                <w:szCs w:val="22"/>
              </w:rPr>
              <w:t>701</w:t>
            </w:r>
            <w:r>
              <w:rPr>
                <w:rFonts w:eastAsiaTheme="minorHAnsi"/>
                <w:szCs w:val="22"/>
              </w:rPr>
              <w:t xml:space="preserve"> 32. punktā ir noteikta prasība par</w:t>
            </w:r>
            <w:r w:rsidRPr="009D5759">
              <w:rPr>
                <w:rFonts w:eastAsiaTheme="minorHAnsi"/>
                <w:szCs w:val="22"/>
              </w:rPr>
              <w:t xml:space="preserve"> iegādātā elektromobiļa pastāvīgu reģistrāciju Latvijas Republikas teritorijā finansējuma saņēmēja īpašumā vai turējumā, ja līzinga periodā īpašnieks ir līzinga pakalpojuma sniedzējs, </w:t>
            </w:r>
            <w:r w:rsidRPr="009D5759">
              <w:rPr>
                <w:rFonts w:eastAsiaTheme="minorHAnsi"/>
                <w:b/>
                <w:bCs/>
                <w:szCs w:val="22"/>
              </w:rPr>
              <w:t>vismaz četrus gadus pēc projekta īstenošanas termiņa beigām</w:t>
            </w:r>
            <w:r>
              <w:rPr>
                <w:rFonts w:eastAsiaTheme="minorHAnsi"/>
                <w:szCs w:val="22"/>
              </w:rPr>
              <w:t xml:space="preserve">. </w:t>
            </w:r>
          </w:p>
        </w:tc>
      </w:tr>
      <w:tr w:rsidR="00C8033A" w:rsidRPr="00C21EAA" w14:paraId="33729573" w14:textId="77777777" w:rsidTr="00880642">
        <w:trPr>
          <w:cantSplit/>
        </w:trPr>
        <w:tc>
          <w:tcPr>
            <w:tcW w:w="644" w:type="dxa"/>
          </w:tcPr>
          <w:p w14:paraId="0A6AA8DB" w14:textId="1FC39528" w:rsidR="00C8033A" w:rsidRPr="00C21EAA" w:rsidRDefault="00183B55" w:rsidP="00AB59BD">
            <w:pPr>
              <w:jc w:val="center"/>
              <w:rPr>
                <w:szCs w:val="22"/>
              </w:rPr>
            </w:pPr>
            <w:bookmarkStart w:id="2" w:name="_Hlk519760455"/>
            <w:bookmarkEnd w:id="0"/>
            <w:r w:rsidRPr="00C21EAA">
              <w:rPr>
                <w:szCs w:val="22"/>
              </w:rPr>
              <w:t>2.</w:t>
            </w:r>
          </w:p>
        </w:tc>
        <w:tc>
          <w:tcPr>
            <w:tcW w:w="6722" w:type="dxa"/>
          </w:tcPr>
          <w:p w14:paraId="38DC9DD2" w14:textId="7128B03E" w:rsidR="00C8033A" w:rsidRPr="00C21EAA" w:rsidRDefault="009D5759" w:rsidP="004C4915">
            <w:pPr>
              <w:autoSpaceDE w:val="0"/>
              <w:autoSpaceDN w:val="0"/>
              <w:jc w:val="both"/>
              <w:rPr>
                <w:szCs w:val="22"/>
              </w:rPr>
            </w:pPr>
            <w:r w:rsidRPr="009D5759">
              <w:rPr>
                <w:szCs w:val="22"/>
              </w:rPr>
              <w:t>Vai mums, kā komersantam, uz projekta iesniegšanas brīdi ir jābūt jau noslēgtam iepirkumam? Vai iepirkumu var uzsākt tikai pēc projekta finansējuma apstiprināšanas?</w:t>
            </w:r>
          </w:p>
        </w:tc>
        <w:tc>
          <w:tcPr>
            <w:tcW w:w="7194" w:type="dxa"/>
          </w:tcPr>
          <w:p w14:paraId="2537CC57" w14:textId="77777777" w:rsidR="00F5344F" w:rsidRDefault="009D5759" w:rsidP="0009237A">
            <w:pPr>
              <w:jc w:val="both"/>
              <w:rPr>
                <w:szCs w:val="22"/>
              </w:rPr>
            </w:pPr>
            <w:r>
              <w:rPr>
                <w:szCs w:val="22"/>
              </w:rPr>
              <w:t xml:space="preserve">Iepirkumam </w:t>
            </w:r>
            <w:r w:rsidRPr="00F5344F">
              <w:rPr>
                <w:b/>
                <w:bCs/>
                <w:szCs w:val="22"/>
              </w:rPr>
              <w:t>nav jābūt noslēg</w:t>
            </w:r>
            <w:r w:rsidR="00F5344F">
              <w:rPr>
                <w:b/>
                <w:bCs/>
                <w:szCs w:val="22"/>
              </w:rPr>
              <w:t>ušam</w:t>
            </w:r>
            <w:r>
              <w:rPr>
                <w:szCs w:val="22"/>
              </w:rPr>
              <w:t xml:space="preserve"> vai izsludinātam uz </w:t>
            </w:r>
            <w:r w:rsidR="00F5344F">
              <w:rPr>
                <w:szCs w:val="22"/>
              </w:rPr>
              <w:t xml:space="preserve">projekta iesniegšanas brīdi. </w:t>
            </w:r>
          </w:p>
          <w:p w14:paraId="029F46FA" w14:textId="065FD33F" w:rsidR="00C8033A" w:rsidRPr="00C21EAA" w:rsidRDefault="00F5344F" w:rsidP="0009237A">
            <w:pPr>
              <w:jc w:val="both"/>
              <w:rPr>
                <w:szCs w:val="22"/>
              </w:rPr>
            </w:pPr>
            <w:r>
              <w:rPr>
                <w:szCs w:val="22"/>
              </w:rPr>
              <w:t xml:space="preserve">Papildus norādām, ka komersantiem, kas pieteiksies saskaņā ar </w:t>
            </w:r>
            <w:r w:rsidRPr="00F5344F">
              <w:rPr>
                <w:szCs w:val="22"/>
              </w:rPr>
              <w:t>Regul</w:t>
            </w:r>
            <w:r>
              <w:rPr>
                <w:szCs w:val="22"/>
              </w:rPr>
              <w:t>as</w:t>
            </w:r>
            <w:r w:rsidRPr="00F5344F">
              <w:rPr>
                <w:szCs w:val="22"/>
              </w:rPr>
              <w:t xml:space="preserve"> Nr. 651/2014</w:t>
            </w:r>
            <w:r>
              <w:rPr>
                <w:szCs w:val="22"/>
              </w:rPr>
              <w:t xml:space="preserve"> prasībām, izmaksas ir attiecināmas tikai pēc projekta iesnieguma iesniegšanas</w:t>
            </w:r>
            <w:r w:rsidRPr="00F5344F">
              <w:rPr>
                <w:szCs w:val="22"/>
              </w:rPr>
              <w:t>, ja finansējuma saņēmējs ir sīkais (mikro), mazais vai vidējais komersants</w:t>
            </w:r>
            <w:r>
              <w:rPr>
                <w:szCs w:val="22"/>
              </w:rPr>
              <w:t xml:space="preserve">, vai </w:t>
            </w:r>
            <w:r w:rsidRPr="00F5344F">
              <w:rPr>
                <w:szCs w:val="22"/>
              </w:rPr>
              <w:t>pēc projekta līguma noslēgšanas, ja finansējuma saņēmējs ir lielais komersants</w:t>
            </w:r>
            <w:r>
              <w:rPr>
                <w:szCs w:val="22"/>
              </w:rPr>
              <w:t>.</w:t>
            </w:r>
          </w:p>
        </w:tc>
      </w:tr>
      <w:tr w:rsidR="00EC403C" w:rsidRPr="00C21EAA" w14:paraId="10BFFBD4" w14:textId="77777777" w:rsidTr="00880642">
        <w:trPr>
          <w:cantSplit/>
        </w:trPr>
        <w:tc>
          <w:tcPr>
            <w:tcW w:w="644" w:type="dxa"/>
          </w:tcPr>
          <w:p w14:paraId="52A5C02C" w14:textId="1D1AE4D1" w:rsidR="00EC403C" w:rsidRPr="00C21EAA" w:rsidRDefault="00D87AAB" w:rsidP="00AB59BD">
            <w:pPr>
              <w:jc w:val="center"/>
              <w:rPr>
                <w:szCs w:val="22"/>
              </w:rPr>
            </w:pPr>
            <w:bookmarkStart w:id="3" w:name="_Hlk175575244"/>
            <w:bookmarkStart w:id="4" w:name="_Hlk183432893"/>
            <w:bookmarkEnd w:id="2"/>
            <w:bookmarkEnd w:id="1"/>
            <w:r w:rsidRPr="00C21EAA">
              <w:rPr>
                <w:szCs w:val="22"/>
              </w:rPr>
              <w:t>3.</w:t>
            </w:r>
          </w:p>
        </w:tc>
        <w:tc>
          <w:tcPr>
            <w:tcW w:w="6722" w:type="dxa"/>
          </w:tcPr>
          <w:p w14:paraId="3BCA392B" w14:textId="0F7F9879" w:rsidR="00EC403C" w:rsidRPr="00C21EAA" w:rsidRDefault="00660DF4" w:rsidP="00D87AAB">
            <w:pPr>
              <w:autoSpaceDE w:val="0"/>
              <w:autoSpaceDN w:val="0"/>
              <w:jc w:val="both"/>
              <w:rPr>
                <w:szCs w:val="22"/>
              </w:rPr>
            </w:pPr>
            <w:r w:rsidRPr="00660DF4">
              <w:rPr>
                <w:szCs w:val="22"/>
              </w:rPr>
              <w:t xml:space="preserve">Vai ir pieļaujams, ka iepirkums par </w:t>
            </w:r>
            <w:proofErr w:type="spellStart"/>
            <w:r w:rsidRPr="00660DF4">
              <w:rPr>
                <w:szCs w:val="22"/>
              </w:rPr>
              <w:t>elektromobīļu</w:t>
            </w:r>
            <w:proofErr w:type="spellEnd"/>
            <w:r w:rsidRPr="00660DF4">
              <w:rPr>
                <w:szCs w:val="22"/>
              </w:rPr>
              <w:t xml:space="preserve"> iegādi ir veikts pirms MK noteikumu Nr.</w:t>
            </w:r>
            <w:r>
              <w:rPr>
                <w:szCs w:val="22"/>
              </w:rPr>
              <w:t> </w:t>
            </w:r>
            <w:r w:rsidRPr="00660DF4">
              <w:rPr>
                <w:szCs w:val="22"/>
              </w:rPr>
              <w:t>701 pieņemšanas, projektu iesniegšanas termiņa (08.01.2025.) vai atbalsta līguma noslēgšanas?</w:t>
            </w:r>
          </w:p>
        </w:tc>
        <w:tc>
          <w:tcPr>
            <w:tcW w:w="7194" w:type="dxa"/>
          </w:tcPr>
          <w:p w14:paraId="57FFF0A6" w14:textId="19140031" w:rsidR="00EC403C" w:rsidRPr="00C21EAA" w:rsidRDefault="00660DF4" w:rsidP="00910B77">
            <w:pPr>
              <w:jc w:val="both"/>
              <w:rPr>
                <w:szCs w:val="22"/>
              </w:rPr>
            </w:pPr>
            <w:r w:rsidRPr="009D5759">
              <w:rPr>
                <w:rFonts w:eastAsiaTheme="minorHAnsi"/>
                <w:szCs w:val="22"/>
              </w:rPr>
              <w:t>MK noteikum</w:t>
            </w:r>
            <w:r>
              <w:rPr>
                <w:rFonts w:eastAsiaTheme="minorHAnsi"/>
                <w:szCs w:val="22"/>
              </w:rPr>
              <w:t>u</w:t>
            </w:r>
            <w:r w:rsidRPr="009D5759">
              <w:rPr>
                <w:rFonts w:eastAsiaTheme="minorHAnsi"/>
                <w:szCs w:val="22"/>
              </w:rPr>
              <w:t xml:space="preserve"> Nr.</w:t>
            </w:r>
            <w:r w:rsidR="00BE5948">
              <w:rPr>
                <w:rFonts w:eastAsiaTheme="minorHAnsi"/>
                <w:szCs w:val="22"/>
              </w:rPr>
              <w:t> </w:t>
            </w:r>
            <w:r w:rsidRPr="009D5759">
              <w:rPr>
                <w:rFonts w:eastAsiaTheme="minorHAnsi"/>
                <w:szCs w:val="22"/>
              </w:rPr>
              <w:t>701</w:t>
            </w:r>
            <w:r>
              <w:rPr>
                <w:rFonts w:eastAsiaTheme="minorHAnsi"/>
                <w:szCs w:val="22"/>
              </w:rPr>
              <w:t xml:space="preserve"> 18.</w:t>
            </w:r>
            <w:r w:rsidR="00BE5948">
              <w:rPr>
                <w:rFonts w:eastAsiaTheme="minorHAnsi"/>
                <w:szCs w:val="22"/>
              </w:rPr>
              <w:t> </w:t>
            </w:r>
            <w:r>
              <w:rPr>
                <w:rFonts w:eastAsiaTheme="minorHAnsi"/>
                <w:szCs w:val="22"/>
              </w:rPr>
              <w:t xml:space="preserve">punktā ir noteikta izmaksu attiecināmības periods, kas ir atkarīgs no finansējuma saņēmēja kategorijas. </w:t>
            </w:r>
            <w:r w:rsidRPr="00660DF4">
              <w:rPr>
                <w:rFonts w:eastAsiaTheme="minorHAnsi"/>
                <w:b/>
                <w:bCs/>
                <w:szCs w:val="22"/>
              </w:rPr>
              <w:t xml:space="preserve">Ir pieļaujams, ka ir veikts iepirkums </w:t>
            </w:r>
            <w:r w:rsidRPr="00660DF4">
              <w:rPr>
                <w:b/>
                <w:bCs/>
                <w:szCs w:val="22"/>
              </w:rPr>
              <w:t>pirms MK noteikumu Nr. 701 spēkā stāšanās</w:t>
            </w:r>
            <w:r w:rsidRPr="00660DF4">
              <w:rPr>
                <w:rFonts w:eastAsiaTheme="minorHAnsi"/>
                <w:b/>
                <w:bCs/>
                <w:szCs w:val="22"/>
              </w:rPr>
              <w:t xml:space="preserve">, </w:t>
            </w:r>
            <w:r w:rsidRPr="00D76F6E">
              <w:rPr>
                <w:rFonts w:eastAsiaTheme="minorHAnsi"/>
                <w:b/>
                <w:bCs/>
                <w:szCs w:val="22"/>
                <w:u w:val="single"/>
              </w:rPr>
              <w:t>ja nav radušās izmaksas</w:t>
            </w:r>
            <w:r w:rsidR="00D76F6E" w:rsidRPr="00D76F6E">
              <w:rPr>
                <w:rFonts w:eastAsiaTheme="minorHAnsi"/>
                <w:b/>
                <w:bCs/>
                <w:szCs w:val="22"/>
                <w:u w:val="single"/>
              </w:rPr>
              <w:t xml:space="preserve"> un juridiski saistoša apņemšanās pasūtīt aprīkojumu</w:t>
            </w:r>
            <w:r w:rsidR="00D76F6E" w:rsidRPr="00D76F6E">
              <w:rPr>
                <w:rFonts w:eastAsiaTheme="minorHAnsi"/>
                <w:b/>
                <w:bCs/>
                <w:szCs w:val="22"/>
              </w:rPr>
              <w:t>, vai citas saistības, kas padara ieguldījumu neatgriezenisku</w:t>
            </w:r>
            <w:r>
              <w:rPr>
                <w:rFonts w:eastAsiaTheme="minorHAnsi"/>
                <w:szCs w:val="22"/>
              </w:rPr>
              <w:t>.</w:t>
            </w:r>
          </w:p>
        </w:tc>
      </w:tr>
      <w:tr w:rsidR="00EC403C" w:rsidRPr="00C21EAA" w14:paraId="6F9DE4FC" w14:textId="77777777" w:rsidTr="00880642">
        <w:trPr>
          <w:cantSplit/>
        </w:trPr>
        <w:tc>
          <w:tcPr>
            <w:tcW w:w="644" w:type="dxa"/>
          </w:tcPr>
          <w:p w14:paraId="302CC098" w14:textId="352D01FC" w:rsidR="00EC403C" w:rsidRPr="00C21EAA" w:rsidRDefault="00441A99" w:rsidP="00AB59BD">
            <w:pPr>
              <w:jc w:val="center"/>
              <w:rPr>
                <w:szCs w:val="22"/>
              </w:rPr>
            </w:pPr>
            <w:bookmarkStart w:id="5" w:name="_Hlk175655474"/>
            <w:bookmarkEnd w:id="3"/>
            <w:r w:rsidRPr="00C21EAA">
              <w:rPr>
                <w:szCs w:val="22"/>
              </w:rPr>
              <w:lastRenderedPageBreak/>
              <w:t>4.</w:t>
            </w:r>
          </w:p>
        </w:tc>
        <w:tc>
          <w:tcPr>
            <w:tcW w:w="6722" w:type="dxa"/>
          </w:tcPr>
          <w:p w14:paraId="3FE5531F" w14:textId="7FB52153" w:rsidR="00EC403C" w:rsidRPr="00C21EAA" w:rsidRDefault="00660DF4" w:rsidP="00DD3A2F">
            <w:pPr>
              <w:autoSpaceDE w:val="0"/>
              <w:autoSpaceDN w:val="0"/>
              <w:jc w:val="both"/>
              <w:rPr>
                <w:szCs w:val="22"/>
              </w:rPr>
            </w:pPr>
            <w:r w:rsidRPr="00660DF4">
              <w:rPr>
                <w:szCs w:val="22"/>
              </w:rPr>
              <w:t xml:space="preserve">Vai viena projekta ietvaros atbalstu, kas saņemts MK noteikumu Nr. 701 ietvaros, var apvienot ar atbalstu, kas saņemts saskaņā ar MK noteikumiem Nr. 726 "Eiropas Savienības Atveseļošanas un noturības mehānisma plāna 1.2. reformu un investīciju virziena "Energoefektivitātes uzlabošana" 1.2.1.5.i. investīcijas "Elektroenerģijas pārvades un sadales tīklu modernizācija" īstenošanas noteikumi"; proti, šīs programmas ietvaros tiek saņemts atbalsts </w:t>
            </w:r>
            <w:proofErr w:type="spellStart"/>
            <w:r w:rsidRPr="00660DF4">
              <w:rPr>
                <w:szCs w:val="22"/>
              </w:rPr>
              <w:t>elektromobīļu</w:t>
            </w:r>
            <w:proofErr w:type="spellEnd"/>
            <w:r w:rsidRPr="00660DF4">
              <w:rPr>
                <w:szCs w:val="22"/>
              </w:rPr>
              <w:t xml:space="preserve"> uzlādes punktu izbūvei, savukārt MK noteikumu Nr. 726 ietvaros tiek saņemts atbalsts tīkla pieslēguma izbūvei?</w:t>
            </w:r>
          </w:p>
        </w:tc>
        <w:tc>
          <w:tcPr>
            <w:tcW w:w="7194" w:type="dxa"/>
          </w:tcPr>
          <w:p w14:paraId="5BB2A62D" w14:textId="0FB0DC8D" w:rsidR="00EC403C" w:rsidRPr="00C21EAA" w:rsidRDefault="007B5256" w:rsidP="007B6E8E">
            <w:pPr>
              <w:jc w:val="both"/>
              <w:rPr>
                <w:szCs w:val="22"/>
              </w:rPr>
            </w:pPr>
            <w:r w:rsidRPr="007B5256">
              <w:rPr>
                <w:b/>
                <w:bCs/>
                <w:szCs w:val="22"/>
              </w:rPr>
              <w:t>Pirmšķietami ir saskatāma atbalsta programmu pārklāšanās</w:t>
            </w:r>
            <w:r>
              <w:rPr>
                <w:szCs w:val="22"/>
              </w:rPr>
              <w:t xml:space="preserve"> un attiecīgi tādas izmaksas nebūtu attiecināmas saskaņā ar </w:t>
            </w:r>
            <w:r w:rsidRPr="009D5759">
              <w:rPr>
                <w:rFonts w:eastAsiaTheme="minorHAnsi"/>
                <w:szCs w:val="22"/>
              </w:rPr>
              <w:t>MK noteikum</w:t>
            </w:r>
            <w:r>
              <w:rPr>
                <w:rFonts w:eastAsiaTheme="minorHAnsi"/>
                <w:szCs w:val="22"/>
              </w:rPr>
              <w:t>u</w:t>
            </w:r>
            <w:r w:rsidRPr="009D5759">
              <w:rPr>
                <w:rFonts w:eastAsiaTheme="minorHAnsi"/>
                <w:szCs w:val="22"/>
              </w:rPr>
              <w:t xml:space="preserve"> Nr.</w:t>
            </w:r>
            <w:r w:rsidR="00BE5948">
              <w:rPr>
                <w:rFonts w:eastAsiaTheme="minorHAnsi"/>
                <w:szCs w:val="22"/>
              </w:rPr>
              <w:t> </w:t>
            </w:r>
            <w:r w:rsidRPr="009D5759">
              <w:rPr>
                <w:rFonts w:eastAsiaTheme="minorHAnsi"/>
                <w:szCs w:val="22"/>
              </w:rPr>
              <w:t>701</w:t>
            </w:r>
            <w:r>
              <w:rPr>
                <w:rFonts w:eastAsiaTheme="minorHAnsi"/>
                <w:szCs w:val="22"/>
              </w:rPr>
              <w:t xml:space="preserve"> 21.1.</w:t>
            </w:r>
            <w:r w:rsidR="00BE5948">
              <w:rPr>
                <w:rFonts w:eastAsiaTheme="minorHAnsi"/>
                <w:szCs w:val="22"/>
              </w:rPr>
              <w:t> </w:t>
            </w:r>
            <w:r>
              <w:rPr>
                <w:rFonts w:eastAsiaTheme="minorHAnsi"/>
                <w:szCs w:val="22"/>
              </w:rPr>
              <w:t>apakšpunktu.</w:t>
            </w:r>
          </w:p>
        </w:tc>
      </w:tr>
      <w:tr w:rsidR="002C1368" w:rsidRPr="00C21EAA" w14:paraId="62DBED5E" w14:textId="77777777" w:rsidTr="00880642">
        <w:trPr>
          <w:cantSplit/>
        </w:trPr>
        <w:tc>
          <w:tcPr>
            <w:tcW w:w="644" w:type="dxa"/>
          </w:tcPr>
          <w:p w14:paraId="0F8EC937" w14:textId="12DFA424" w:rsidR="002C1368" w:rsidRPr="00C21EAA" w:rsidRDefault="005658ED" w:rsidP="00F9772C">
            <w:pPr>
              <w:jc w:val="center"/>
              <w:rPr>
                <w:szCs w:val="22"/>
              </w:rPr>
            </w:pPr>
            <w:bookmarkStart w:id="6" w:name="_Hlk175669141"/>
            <w:bookmarkEnd w:id="5"/>
            <w:r w:rsidRPr="00C21EAA">
              <w:rPr>
                <w:szCs w:val="22"/>
              </w:rPr>
              <w:t>5.</w:t>
            </w:r>
          </w:p>
        </w:tc>
        <w:tc>
          <w:tcPr>
            <w:tcW w:w="6722" w:type="dxa"/>
          </w:tcPr>
          <w:p w14:paraId="73CA030B" w14:textId="077AA971" w:rsidR="002C1368" w:rsidRPr="00C21EAA" w:rsidRDefault="007B5256" w:rsidP="00176CD7">
            <w:pPr>
              <w:autoSpaceDE w:val="0"/>
              <w:autoSpaceDN w:val="0"/>
              <w:jc w:val="both"/>
              <w:rPr>
                <w:szCs w:val="22"/>
              </w:rPr>
            </w:pPr>
            <w:r w:rsidRPr="007B5256">
              <w:rPr>
                <w:szCs w:val="22"/>
              </w:rPr>
              <w:t>Vai MK noteikumu Nr. 701 16.punktā  konkursa ietvaros projekta iesniedzējam noteiktā maksimāli pieejamā finansējuma summa ir attiecināta uz atsevišķu komersantu vai saistīto personu grupu?</w:t>
            </w:r>
          </w:p>
        </w:tc>
        <w:tc>
          <w:tcPr>
            <w:tcW w:w="7194" w:type="dxa"/>
          </w:tcPr>
          <w:p w14:paraId="27E3A273" w14:textId="07B33C5A" w:rsidR="002C1368" w:rsidRPr="00C21EAA" w:rsidRDefault="007B5256">
            <w:pPr>
              <w:autoSpaceDE w:val="0"/>
              <w:autoSpaceDN w:val="0"/>
              <w:jc w:val="both"/>
              <w:rPr>
                <w:rFonts w:eastAsiaTheme="minorHAnsi"/>
                <w:szCs w:val="22"/>
              </w:rPr>
            </w:pPr>
            <w:r>
              <w:rPr>
                <w:rFonts w:eastAsiaTheme="minorHAnsi"/>
                <w:szCs w:val="22"/>
              </w:rPr>
              <w:t xml:space="preserve">Saskaņā ar </w:t>
            </w:r>
            <w:r w:rsidRPr="009D5759">
              <w:rPr>
                <w:rFonts w:eastAsiaTheme="minorHAnsi"/>
                <w:szCs w:val="22"/>
              </w:rPr>
              <w:t>MK noteikum</w:t>
            </w:r>
            <w:r>
              <w:rPr>
                <w:rFonts w:eastAsiaTheme="minorHAnsi"/>
                <w:szCs w:val="22"/>
              </w:rPr>
              <w:t>iem</w:t>
            </w:r>
            <w:r w:rsidRPr="009D5759">
              <w:rPr>
                <w:rFonts w:eastAsiaTheme="minorHAnsi"/>
                <w:szCs w:val="22"/>
              </w:rPr>
              <w:t xml:space="preserve"> Nr.</w:t>
            </w:r>
            <w:r w:rsidR="00BE5948">
              <w:rPr>
                <w:rFonts w:eastAsiaTheme="minorHAnsi"/>
                <w:szCs w:val="22"/>
              </w:rPr>
              <w:t> </w:t>
            </w:r>
            <w:r w:rsidRPr="009D5759">
              <w:rPr>
                <w:rFonts w:eastAsiaTheme="minorHAnsi"/>
                <w:szCs w:val="22"/>
              </w:rPr>
              <w:t>701</w:t>
            </w:r>
            <w:r>
              <w:rPr>
                <w:rFonts w:eastAsiaTheme="minorHAnsi"/>
                <w:szCs w:val="22"/>
              </w:rPr>
              <w:t xml:space="preserve">, </w:t>
            </w:r>
            <w:r w:rsidRPr="007B5256">
              <w:rPr>
                <w:rFonts w:eastAsiaTheme="minorHAnsi"/>
                <w:szCs w:val="22"/>
              </w:rPr>
              <w:t xml:space="preserve">projekta iesniedzējam noteiktā maksimāli pieejamā finansējuma summa </w:t>
            </w:r>
            <w:r w:rsidRPr="001663B8">
              <w:rPr>
                <w:rFonts w:eastAsiaTheme="minorHAnsi"/>
                <w:b/>
                <w:bCs/>
                <w:szCs w:val="22"/>
              </w:rPr>
              <w:t>ir attiecināta uz atsevišķu komersantu</w:t>
            </w:r>
            <w:r>
              <w:rPr>
                <w:rFonts w:eastAsiaTheme="minorHAnsi"/>
                <w:szCs w:val="22"/>
              </w:rPr>
              <w:t xml:space="preserve">. Vienlaikus komersantam ir jāņem vērā </w:t>
            </w:r>
            <w:proofErr w:type="spellStart"/>
            <w:r w:rsidRPr="007B5256">
              <w:rPr>
                <w:rFonts w:eastAsiaTheme="minorHAnsi"/>
                <w:i/>
                <w:iCs/>
                <w:szCs w:val="22"/>
              </w:rPr>
              <w:t>de</w:t>
            </w:r>
            <w:proofErr w:type="spellEnd"/>
            <w:r w:rsidRPr="007B5256">
              <w:rPr>
                <w:rFonts w:eastAsiaTheme="minorHAnsi"/>
                <w:i/>
                <w:iCs/>
                <w:szCs w:val="22"/>
              </w:rPr>
              <w:t xml:space="preserve"> minimis</w:t>
            </w:r>
            <w:r>
              <w:rPr>
                <w:rFonts w:eastAsiaTheme="minorHAnsi"/>
                <w:szCs w:val="22"/>
              </w:rPr>
              <w:t xml:space="preserve"> </w:t>
            </w:r>
            <w:r w:rsidR="001663B8" w:rsidRPr="001663B8">
              <w:rPr>
                <w:rFonts w:eastAsiaTheme="minorHAnsi"/>
                <w:szCs w:val="22"/>
              </w:rPr>
              <w:t>atbalsta uzskaites un piešķiršanas kārtīb</w:t>
            </w:r>
            <w:r w:rsidR="001663B8">
              <w:rPr>
                <w:rFonts w:eastAsiaTheme="minorHAnsi"/>
                <w:szCs w:val="22"/>
              </w:rPr>
              <w:t xml:space="preserve">a nosakot </w:t>
            </w:r>
            <w:r w:rsidR="001663B8" w:rsidRPr="001663B8">
              <w:rPr>
                <w:rFonts w:eastAsiaTheme="minorHAnsi"/>
                <w:szCs w:val="22"/>
              </w:rPr>
              <w:t xml:space="preserve">pieejams </w:t>
            </w:r>
            <w:proofErr w:type="spellStart"/>
            <w:r w:rsidR="001663B8" w:rsidRPr="001663B8">
              <w:rPr>
                <w:rFonts w:eastAsiaTheme="minorHAnsi"/>
                <w:i/>
                <w:iCs/>
                <w:szCs w:val="22"/>
              </w:rPr>
              <w:t>de</w:t>
            </w:r>
            <w:proofErr w:type="spellEnd"/>
            <w:r w:rsidR="001663B8" w:rsidRPr="001663B8">
              <w:rPr>
                <w:rFonts w:eastAsiaTheme="minorHAnsi"/>
                <w:i/>
                <w:iCs/>
                <w:szCs w:val="22"/>
              </w:rPr>
              <w:t xml:space="preserve"> minimis</w:t>
            </w:r>
            <w:r w:rsidR="001663B8" w:rsidRPr="001663B8">
              <w:rPr>
                <w:rFonts w:eastAsiaTheme="minorHAnsi"/>
                <w:szCs w:val="22"/>
              </w:rPr>
              <w:t xml:space="preserve"> limit</w:t>
            </w:r>
            <w:r w:rsidR="001663B8">
              <w:rPr>
                <w:rFonts w:eastAsiaTheme="minorHAnsi"/>
                <w:szCs w:val="22"/>
              </w:rPr>
              <w:t>u.</w:t>
            </w:r>
          </w:p>
        </w:tc>
      </w:tr>
      <w:tr w:rsidR="00660DF4" w:rsidRPr="00C21EAA" w14:paraId="797E6D9B" w14:textId="77777777" w:rsidTr="00880642">
        <w:trPr>
          <w:cantSplit/>
        </w:trPr>
        <w:tc>
          <w:tcPr>
            <w:tcW w:w="644" w:type="dxa"/>
          </w:tcPr>
          <w:p w14:paraId="63C7EB63" w14:textId="7EFAC26F" w:rsidR="00660DF4" w:rsidRPr="00C21EAA" w:rsidRDefault="001663B8" w:rsidP="00F9772C">
            <w:pPr>
              <w:jc w:val="center"/>
            </w:pPr>
            <w:r>
              <w:t>6.</w:t>
            </w:r>
          </w:p>
        </w:tc>
        <w:tc>
          <w:tcPr>
            <w:tcW w:w="6722" w:type="dxa"/>
          </w:tcPr>
          <w:p w14:paraId="079E2151" w14:textId="58E464A2" w:rsidR="00660DF4" w:rsidRPr="00C21EAA" w:rsidRDefault="001663B8" w:rsidP="00176CD7">
            <w:pPr>
              <w:autoSpaceDE w:val="0"/>
              <w:autoSpaceDN w:val="0"/>
              <w:jc w:val="both"/>
            </w:pPr>
            <w:r w:rsidRPr="001663B8">
              <w:t xml:space="preserve">Vai programmas ietvaros tiek atbalstīta </w:t>
            </w:r>
            <w:proofErr w:type="spellStart"/>
            <w:r w:rsidRPr="001663B8">
              <w:t>hibrīdautomašīnu</w:t>
            </w:r>
            <w:proofErr w:type="spellEnd"/>
            <w:r w:rsidRPr="001663B8">
              <w:t xml:space="preserve"> iegāde?</w:t>
            </w:r>
          </w:p>
        </w:tc>
        <w:tc>
          <w:tcPr>
            <w:tcW w:w="7194" w:type="dxa"/>
          </w:tcPr>
          <w:p w14:paraId="5870C690" w14:textId="452207BD" w:rsidR="00660DF4" w:rsidRPr="00C21EAA" w:rsidRDefault="001663B8">
            <w:pPr>
              <w:autoSpaceDE w:val="0"/>
              <w:autoSpaceDN w:val="0"/>
              <w:jc w:val="both"/>
            </w:pPr>
            <w:r>
              <w:t xml:space="preserve">Hibrīdauto iegādes izmaksas </w:t>
            </w:r>
            <w:r w:rsidRPr="001663B8">
              <w:rPr>
                <w:b/>
                <w:bCs/>
              </w:rPr>
              <w:t>nav attiecināmas</w:t>
            </w:r>
            <w:r>
              <w:t>.</w:t>
            </w:r>
          </w:p>
        </w:tc>
      </w:tr>
      <w:tr w:rsidR="00660DF4" w:rsidRPr="00C21EAA" w14:paraId="5E9BC168" w14:textId="77777777" w:rsidTr="00880642">
        <w:trPr>
          <w:cantSplit/>
        </w:trPr>
        <w:tc>
          <w:tcPr>
            <w:tcW w:w="644" w:type="dxa"/>
          </w:tcPr>
          <w:p w14:paraId="023FD7B6" w14:textId="50637BE7" w:rsidR="00660DF4" w:rsidRPr="00C21EAA" w:rsidRDefault="00BE5948" w:rsidP="00F9772C">
            <w:pPr>
              <w:jc w:val="center"/>
            </w:pPr>
            <w:r>
              <w:t>7.</w:t>
            </w:r>
          </w:p>
        </w:tc>
        <w:tc>
          <w:tcPr>
            <w:tcW w:w="6722" w:type="dxa"/>
          </w:tcPr>
          <w:p w14:paraId="66431318" w14:textId="53ACBA09" w:rsidR="00660DF4" w:rsidRPr="00C21EAA" w:rsidRDefault="00BE5948" w:rsidP="00176CD7">
            <w:pPr>
              <w:autoSpaceDE w:val="0"/>
              <w:autoSpaceDN w:val="0"/>
              <w:jc w:val="both"/>
            </w:pPr>
            <w:r w:rsidRPr="00BE5948">
              <w:t>Kādas ir prasības publiski pieejamai elektromobiļu uzlādes infrastruktūrai, kādi apliecinājumi būs jāsniedz to izpildei?</w:t>
            </w:r>
          </w:p>
        </w:tc>
        <w:tc>
          <w:tcPr>
            <w:tcW w:w="7194" w:type="dxa"/>
          </w:tcPr>
          <w:p w14:paraId="36405F7B" w14:textId="79B92710" w:rsidR="00660DF4" w:rsidRPr="00C21EAA" w:rsidRDefault="00BE5948">
            <w:pPr>
              <w:autoSpaceDE w:val="0"/>
              <w:autoSpaceDN w:val="0"/>
              <w:jc w:val="both"/>
            </w:pPr>
            <w:r w:rsidRPr="00BE5948">
              <w:rPr>
                <w:b/>
                <w:bCs/>
              </w:rPr>
              <w:t xml:space="preserve">Prasības elektromobiļu uzlādes infrastruktūrai ir noteiktas </w:t>
            </w:r>
            <w:r w:rsidRPr="00BE5948">
              <w:rPr>
                <w:rFonts w:eastAsiaTheme="minorHAnsi"/>
                <w:b/>
                <w:bCs/>
                <w:szCs w:val="22"/>
              </w:rPr>
              <w:t>MK noteikumu Nr. 701 VI. sadaļā</w:t>
            </w:r>
            <w:r>
              <w:rPr>
                <w:rFonts w:eastAsiaTheme="minorHAnsi"/>
                <w:szCs w:val="22"/>
              </w:rPr>
              <w:t>. Finansējuma saņēmējs reizi gadā iesniegs monitoringa pārskatu ar</w:t>
            </w:r>
            <w:r>
              <w:t xml:space="preserve"> </w:t>
            </w:r>
            <w:r w:rsidRPr="00BE5948">
              <w:rPr>
                <w:rFonts w:eastAsiaTheme="minorHAnsi"/>
                <w:szCs w:val="22"/>
              </w:rPr>
              <w:t>elektromobiļu uzlādes infrastruktūra</w:t>
            </w:r>
            <w:r>
              <w:rPr>
                <w:rFonts w:eastAsiaTheme="minorHAnsi"/>
                <w:szCs w:val="22"/>
              </w:rPr>
              <w:t xml:space="preserve">s darbības rezultātiem un apliecinājumu par </w:t>
            </w:r>
            <w:r w:rsidRPr="009D5759">
              <w:rPr>
                <w:rFonts w:eastAsiaTheme="minorHAnsi"/>
                <w:szCs w:val="22"/>
              </w:rPr>
              <w:t>MK noteikum</w:t>
            </w:r>
            <w:r>
              <w:rPr>
                <w:rFonts w:eastAsiaTheme="minorHAnsi"/>
                <w:szCs w:val="22"/>
              </w:rPr>
              <w:t>u</w:t>
            </w:r>
            <w:r w:rsidRPr="009D5759">
              <w:rPr>
                <w:rFonts w:eastAsiaTheme="minorHAnsi"/>
                <w:szCs w:val="22"/>
              </w:rPr>
              <w:t xml:space="preserve"> Nr.</w:t>
            </w:r>
            <w:r>
              <w:rPr>
                <w:rFonts w:eastAsiaTheme="minorHAnsi"/>
                <w:szCs w:val="22"/>
              </w:rPr>
              <w:t> </w:t>
            </w:r>
            <w:r w:rsidRPr="009D5759">
              <w:rPr>
                <w:rFonts w:eastAsiaTheme="minorHAnsi"/>
                <w:szCs w:val="22"/>
              </w:rPr>
              <w:t>701</w:t>
            </w:r>
            <w:r>
              <w:rPr>
                <w:rFonts w:eastAsiaTheme="minorHAnsi"/>
                <w:szCs w:val="22"/>
              </w:rPr>
              <w:t xml:space="preserve"> nosacījumu izpildi.</w:t>
            </w:r>
          </w:p>
        </w:tc>
      </w:tr>
      <w:tr w:rsidR="00660DF4" w:rsidRPr="00C21EAA" w14:paraId="5156CE5B" w14:textId="77777777" w:rsidTr="00880642">
        <w:trPr>
          <w:cantSplit/>
        </w:trPr>
        <w:tc>
          <w:tcPr>
            <w:tcW w:w="644" w:type="dxa"/>
          </w:tcPr>
          <w:p w14:paraId="185796D0" w14:textId="019119FC" w:rsidR="00660DF4" w:rsidRPr="00C21EAA" w:rsidRDefault="00BE5948" w:rsidP="00F9772C">
            <w:pPr>
              <w:jc w:val="center"/>
            </w:pPr>
            <w:r>
              <w:t>8.</w:t>
            </w:r>
          </w:p>
        </w:tc>
        <w:tc>
          <w:tcPr>
            <w:tcW w:w="6722" w:type="dxa"/>
          </w:tcPr>
          <w:p w14:paraId="73416FD8" w14:textId="18E8ADA6" w:rsidR="00660DF4" w:rsidRPr="00C21EAA" w:rsidRDefault="00BE5948" w:rsidP="00176CD7">
            <w:pPr>
              <w:autoSpaceDE w:val="0"/>
              <w:autoSpaceDN w:val="0"/>
              <w:jc w:val="both"/>
            </w:pPr>
            <w:r w:rsidRPr="00BE5948">
              <w:t xml:space="preserve">Vai norakstāmo transportlīdzekļu skaitam ir jābūt vienādam ar projekta ietvaros iegādāto </w:t>
            </w:r>
            <w:proofErr w:type="spellStart"/>
            <w:r w:rsidRPr="00BE5948">
              <w:t>elektromobīļu</w:t>
            </w:r>
            <w:proofErr w:type="spellEnd"/>
            <w:r w:rsidRPr="00BE5948">
              <w:t xml:space="preserve"> skaitu?</w:t>
            </w:r>
          </w:p>
        </w:tc>
        <w:tc>
          <w:tcPr>
            <w:tcW w:w="7194" w:type="dxa"/>
          </w:tcPr>
          <w:p w14:paraId="306C99D8" w14:textId="78727B55" w:rsidR="00BE5948" w:rsidRPr="00BE5948" w:rsidRDefault="00BE5948">
            <w:pPr>
              <w:autoSpaceDE w:val="0"/>
              <w:autoSpaceDN w:val="0"/>
              <w:jc w:val="both"/>
              <w:rPr>
                <w:rFonts w:eastAsiaTheme="minorHAnsi"/>
                <w:szCs w:val="22"/>
              </w:rPr>
            </w:pPr>
            <w:r w:rsidRPr="009D5759">
              <w:rPr>
                <w:rFonts w:eastAsiaTheme="minorHAnsi"/>
                <w:szCs w:val="22"/>
              </w:rPr>
              <w:t>MK noteikum</w:t>
            </w:r>
            <w:r>
              <w:rPr>
                <w:rFonts w:eastAsiaTheme="minorHAnsi"/>
                <w:szCs w:val="22"/>
              </w:rPr>
              <w:t>i</w:t>
            </w:r>
            <w:r w:rsidRPr="009D5759">
              <w:rPr>
                <w:rFonts w:eastAsiaTheme="minorHAnsi"/>
                <w:szCs w:val="22"/>
              </w:rPr>
              <w:t xml:space="preserve"> Nr.</w:t>
            </w:r>
            <w:r>
              <w:rPr>
                <w:rFonts w:eastAsiaTheme="minorHAnsi"/>
                <w:szCs w:val="22"/>
              </w:rPr>
              <w:t> </w:t>
            </w:r>
            <w:r w:rsidRPr="009D5759">
              <w:rPr>
                <w:rFonts w:eastAsiaTheme="minorHAnsi"/>
                <w:szCs w:val="22"/>
              </w:rPr>
              <w:t>701</w:t>
            </w:r>
            <w:r>
              <w:rPr>
                <w:rFonts w:eastAsiaTheme="minorHAnsi"/>
                <w:szCs w:val="22"/>
              </w:rPr>
              <w:t xml:space="preserve"> </w:t>
            </w:r>
            <w:r w:rsidRPr="00BE5948">
              <w:rPr>
                <w:rFonts w:eastAsiaTheme="minorHAnsi"/>
                <w:b/>
                <w:bCs/>
                <w:szCs w:val="22"/>
              </w:rPr>
              <w:t>neuzliek pienākumu norakstīt ar fosilo degvielu darbināmās automašīnas</w:t>
            </w:r>
            <w:r>
              <w:rPr>
                <w:rFonts w:eastAsiaTheme="minorHAnsi"/>
                <w:szCs w:val="22"/>
              </w:rPr>
              <w:t>. Lai kvalitātes vērtēšanā saņemtu papildus punktus, tad norakstāmo automašīnu skaits nevar pārsniegt iegādājamo elektromobiļu skaitu.</w:t>
            </w:r>
          </w:p>
        </w:tc>
      </w:tr>
      <w:tr w:rsidR="00660DF4" w:rsidRPr="00C21EAA" w14:paraId="38C5DAE3" w14:textId="77777777" w:rsidTr="00880642">
        <w:trPr>
          <w:cantSplit/>
        </w:trPr>
        <w:tc>
          <w:tcPr>
            <w:tcW w:w="644" w:type="dxa"/>
          </w:tcPr>
          <w:p w14:paraId="0AF87C5D" w14:textId="6BD8E566" w:rsidR="00660DF4" w:rsidRPr="00C21EAA" w:rsidRDefault="00BE5948" w:rsidP="00F9772C">
            <w:pPr>
              <w:jc w:val="center"/>
            </w:pPr>
            <w:r>
              <w:t>9.</w:t>
            </w:r>
          </w:p>
        </w:tc>
        <w:tc>
          <w:tcPr>
            <w:tcW w:w="6722" w:type="dxa"/>
          </w:tcPr>
          <w:p w14:paraId="79C7B3D4" w14:textId="03EE2F8A" w:rsidR="00660DF4" w:rsidRPr="00C21EAA" w:rsidRDefault="00BE5948" w:rsidP="00176CD7">
            <w:pPr>
              <w:autoSpaceDE w:val="0"/>
              <w:autoSpaceDN w:val="0"/>
              <w:jc w:val="both"/>
            </w:pPr>
            <w:r w:rsidRPr="00BE5948">
              <w:t xml:space="preserve">Vai norakstītajiem transportlīdzekļiem ir jāatbilst projekta ietvaros iegādāto </w:t>
            </w:r>
            <w:proofErr w:type="spellStart"/>
            <w:r w:rsidRPr="00BE5948">
              <w:t>elektromobīļa</w:t>
            </w:r>
            <w:proofErr w:type="spellEnd"/>
            <w:r w:rsidRPr="00BE5948">
              <w:t xml:space="preserve"> transportlīdzekļa kategorijai vai līdzvērtīgai klasei?</w:t>
            </w:r>
          </w:p>
        </w:tc>
        <w:tc>
          <w:tcPr>
            <w:tcW w:w="7194" w:type="dxa"/>
          </w:tcPr>
          <w:p w14:paraId="7D4AC71F" w14:textId="1D4D19BA" w:rsidR="00660DF4" w:rsidRPr="00C21EAA" w:rsidRDefault="00E50339">
            <w:pPr>
              <w:autoSpaceDE w:val="0"/>
              <w:autoSpaceDN w:val="0"/>
              <w:jc w:val="both"/>
            </w:pPr>
            <w:r w:rsidRPr="009D5759">
              <w:rPr>
                <w:rFonts w:eastAsiaTheme="minorHAnsi"/>
                <w:szCs w:val="22"/>
              </w:rPr>
              <w:t>MK noteikum</w:t>
            </w:r>
            <w:r>
              <w:rPr>
                <w:rFonts w:eastAsiaTheme="minorHAnsi"/>
                <w:szCs w:val="22"/>
              </w:rPr>
              <w:t>i</w:t>
            </w:r>
            <w:r w:rsidRPr="009D5759">
              <w:rPr>
                <w:rFonts w:eastAsiaTheme="minorHAnsi"/>
                <w:szCs w:val="22"/>
              </w:rPr>
              <w:t xml:space="preserve"> Nr.</w:t>
            </w:r>
            <w:r>
              <w:rPr>
                <w:rFonts w:eastAsiaTheme="minorHAnsi"/>
                <w:szCs w:val="22"/>
              </w:rPr>
              <w:t> </w:t>
            </w:r>
            <w:r w:rsidRPr="009D5759">
              <w:rPr>
                <w:rFonts w:eastAsiaTheme="minorHAnsi"/>
                <w:szCs w:val="22"/>
              </w:rPr>
              <w:t>701</w:t>
            </w:r>
            <w:r>
              <w:rPr>
                <w:rFonts w:eastAsiaTheme="minorHAnsi"/>
                <w:szCs w:val="22"/>
              </w:rPr>
              <w:t xml:space="preserve"> nosaka, ka papildus kvalitātes punktus var saņemt, ja noraksta</w:t>
            </w:r>
            <w:r w:rsidR="007F4F72">
              <w:rPr>
                <w:rFonts w:eastAsiaTheme="minorHAnsi"/>
                <w:szCs w:val="22"/>
              </w:rPr>
              <w:t>,</w:t>
            </w:r>
            <w:r>
              <w:t xml:space="preserve"> </w:t>
            </w:r>
            <w:r w:rsidRPr="00E50339">
              <w:rPr>
                <w:rFonts w:eastAsiaTheme="minorHAnsi"/>
                <w:szCs w:val="22"/>
              </w:rPr>
              <w:t>saskaņā ar Nolietotu transportlīdzekļu apsaimniekošanas likuma 6.</w:t>
            </w:r>
            <w:r w:rsidR="007F4F72">
              <w:rPr>
                <w:rFonts w:eastAsiaTheme="minorHAnsi"/>
                <w:szCs w:val="22"/>
              </w:rPr>
              <w:t> </w:t>
            </w:r>
            <w:r w:rsidRPr="00E50339">
              <w:rPr>
                <w:rFonts w:eastAsiaTheme="minorHAnsi"/>
                <w:szCs w:val="22"/>
              </w:rPr>
              <w:t>panta prasībām</w:t>
            </w:r>
            <w:r w:rsidR="007F4F72">
              <w:rPr>
                <w:rFonts w:eastAsiaTheme="minorHAnsi"/>
                <w:szCs w:val="22"/>
              </w:rPr>
              <w:t>,</w:t>
            </w:r>
            <w:r>
              <w:t xml:space="preserve"> </w:t>
            </w:r>
            <w:r w:rsidRPr="00E50339">
              <w:rPr>
                <w:rFonts w:eastAsiaTheme="minorHAnsi"/>
                <w:szCs w:val="22"/>
              </w:rPr>
              <w:t>projekta iesniedzēja īpašumā esošo</w:t>
            </w:r>
            <w:r>
              <w:rPr>
                <w:rFonts w:eastAsiaTheme="minorHAnsi"/>
                <w:szCs w:val="22"/>
              </w:rPr>
              <w:t>s</w:t>
            </w:r>
            <w:r w:rsidRPr="00E50339">
              <w:rPr>
                <w:rFonts w:eastAsiaTheme="minorHAnsi"/>
                <w:szCs w:val="22"/>
              </w:rPr>
              <w:t xml:space="preserve"> M1, N1, M2 vai N2 kategorijas transportlīdzekļu</w:t>
            </w:r>
            <w:r>
              <w:rPr>
                <w:rFonts w:eastAsiaTheme="minorHAnsi"/>
                <w:szCs w:val="22"/>
              </w:rPr>
              <w:t>s</w:t>
            </w:r>
            <w:r w:rsidRPr="00E50339">
              <w:rPr>
                <w:rFonts w:eastAsiaTheme="minorHAnsi"/>
                <w:szCs w:val="22"/>
              </w:rPr>
              <w:t>, kuri aprīkoti ar iekšdedzes dzinēju, kas darbināms ar fosilo degvielu, nododot apstrādes uzņēmumam, ievērojot, lai to skaits nepārsniedz konkursa ietvaros iegādāto elektromobiļu skaitu</w:t>
            </w:r>
            <w:r w:rsidR="007F4F72">
              <w:rPr>
                <w:rFonts w:eastAsiaTheme="minorHAnsi"/>
                <w:szCs w:val="22"/>
              </w:rPr>
              <w:t xml:space="preserve">. </w:t>
            </w:r>
            <w:r w:rsidR="007F4F72" w:rsidRPr="007F4F72">
              <w:rPr>
                <w:rFonts w:eastAsiaTheme="minorHAnsi"/>
                <w:b/>
                <w:bCs/>
                <w:szCs w:val="22"/>
              </w:rPr>
              <w:t>Nav noteikta saistība</w:t>
            </w:r>
            <w:r w:rsidR="007F4F72">
              <w:rPr>
                <w:rFonts w:eastAsiaTheme="minorHAnsi"/>
                <w:szCs w:val="22"/>
              </w:rPr>
              <w:t xml:space="preserve"> norakstāmiem transportlīdzekļiem ar </w:t>
            </w:r>
            <w:r w:rsidR="007F4F72" w:rsidRPr="007F4F72">
              <w:rPr>
                <w:rFonts w:eastAsiaTheme="minorHAnsi"/>
                <w:szCs w:val="22"/>
              </w:rPr>
              <w:t>projekta ietvaros iegādā</w:t>
            </w:r>
            <w:r w:rsidR="007F4F72">
              <w:rPr>
                <w:rFonts w:eastAsiaTheme="minorHAnsi"/>
                <w:szCs w:val="22"/>
              </w:rPr>
              <w:t>jamo</w:t>
            </w:r>
            <w:r w:rsidR="007F4F72" w:rsidRPr="007F4F72">
              <w:rPr>
                <w:rFonts w:eastAsiaTheme="minorHAnsi"/>
                <w:szCs w:val="22"/>
              </w:rPr>
              <w:t xml:space="preserve"> </w:t>
            </w:r>
            <w:r w:rsidR="00E65B06" w:rsidRPr="007F4F72">
              <w:rPr>
                <w:rFonts w:eastAsiaTheme="minorHAnsi"/>
                <w:szCs w:val="22"/>
              </w:rPr>
              <w:t>elektromobiļa</w:t>
            </w:r>
            <w:r w:rsidR="007F4F72" w:rsidRPr="007F4F72">
              <w:rPr>
                <w:rFonts w:eastAsiaTheme="minorHAnsi"/>
                <w:szCs w:val="22"/>
              </w:rPr>
              <w:t xml:space="preserve"> transportlīdzekļa kategorij</w:t>
            </w:r>
            <w:r w:rsidR="007F4F72">
              <w:rPr>
                <w:rFonts w:eastAsiaTheme="minorHAnsi"/>
                <w:szCs w:val="22"/>
              </w:rPr>
              <w:t>u.</w:t>
            </w:r>
            <w:r>
              <w:rPr>
                <w:rFonts w:eastAsiaTheme="minorHAnsi"/>
                <w:szCs w:val="22"/>
              </w:rPr>
              <w:t xml:space="preserve"> </w:t>
            </w:r>
          </w:p>
        </w:tc>
      </w:tr>
      <w:tr w:rsidR="00660DF4" w:rsidRPr="00C21EAA" w14:paraId="1E6786C9" w14:textId="77777777" w:rsidTr="00880642">
        <w:trPr>
          <w:cantSplit/>
        </w:trPr>
        <w:tc>
          <w:tcPr>
            <w:tcW w:w="644" w:type="dxa"/>
          </w:tcPr>
          <w:p w14:paraId="196AFC3A" w14:textId="3A790135" w:rsidR="00660DF4" w:rsidRPr="00C21EAA" w:rsidRDefault="007F4F72" w:rsidP="00F9772C">
            <w:pPr>
              <w:jc w:val="center"/>
            </w:pPr>
            <w:r>
              <w:t>10.</w:t>
            </w:r>
          </w:p>
        </w:tc>
        <w:tc>
          <w:tcPr>
            <w:tcW w:w="6722" w:type="dxa"/>
          </w:tcPr>
          <w:p w14:paraId="385AF4AB" w14:textId="0084B080" w:rsidR="00660DF4" w:rsidRPr="00C21EAA" w:rsidRDefault="007F4F72" w:rsidP="00176CD7">
            <w:pPr>
              <w:autoSpaceDE w:val="0"/>
              <w:autoSpaceDN w:val="0"/>
              <w:jc w:val="both"/>
            </w:pPr>
            <w:r w:rsidRPr="007F4F72">
              <w:t>Vai MK noteikumu Nr. 701 apakšpunktā 96.4.</w:t>
            </w:r>
            <w:r>
              <w:t> </w:t>
            </w:r>
            <w:r w:rsidRPr="007F4F72">
              <w:t>paredzētais "projekta konts" nosaka, ka ir nepieciešams izveidot atsevišķu norēķinu kontu projekta maksājumu veikšanai, vai tomēr ir pietiekami ar esošu kontu, kurā projekta maksājumi ir uzskaitīti subkontos/dimensijās?</w:t>
            </w:r>
          </w:p>
        </w:tc>
        <w:tc>
          <w:tcPr>
            <w:tcW w:w="7194" w:type="dxa"/>
          </w:tcPr>
          <w:p w14:paraId="1469156C" w14:textId="67887F6E" w:rsidR="00660DF4" w:rsidRPr="00C21EAA" w:rsidRDefault="007F4F72">
            <w:pPr>
              <w:autoSpaceDE w:val="0"/>
              <w:autoSpaceDN w:val="0"/>
              <w:jc w:val="both"/>
            </w:pPr>
            <w:r>
              <w:t xml:space="preserve">Finansējuma saņēmējam būs jānodrošina norēķina konta pārskata iesniegšana, kur būtu redzami veiktie maksājumi projekta ietvaros. </w:t>
            </w:r>
            <w:r w:rsidRPr="007F4F72">
              <w:rPr>
                <w:b/>
                <w:bCs/>
              </w:rPr>
              <w:t>Ieteicams</w:t>
            </w:r>
            <w:r>
              <w:t xml:space="preserve"> ir atsevišķs projekta norēķinu konts, taču tiks izskatīti arī pamatojošie dokumenti, ja būs izmantots jau esošais finansējuma saņēmēja konts.</w:t>
            </w:r>
          </w:p>
        </w:tc>
      </w:tr>
      <w:tr w:rsidR="00660DF4" w:rsidRPr="00C21EAA" w14:paraId="0A578E6B" w14:textId="77777777" w:rsidTr="00880642">
        <w:trPr>
          <w:cantSplit/>
        </w:trPr>
        <w:tc>
          <w:tcPr>
            <w:tcW w:w="644" w:type="dxa"/>
          </w:tcPr>
          <w:p w14:paraId="04AA897E" w14:textId="256B9DFC" w:rsidR="00660DF4" w:rsidRPr="00C21EAA" w:rsidRDefault="007F4F72" w:rsidP="00F9772C">
            <w:pPr>
              <w:jc w:val="center"/>
            </w:pPr>
            <w:r>
              <w:lastRenderedPageBreak/>
              <w:t>11.</w:t>
            </w:r>
          </w:p>
        </w:tc>
        <w:tc>
          <w:tcPr>
            <w:tcW w:w="6722" w:type="dxa"/>
          </w:tcPr>
          <w:p w14:paraId="1D694A4B" w14:textId="153E065B" w:rsidR="00660DF4" w:rsidRPr="00C21EAA" w:rsidRDefault="007F4F72" w:rsidP="00176CD7">
            <w:pPr>
              <w:autoSpaceDE w:val="0"/>
              <w:autoSpaceDN w:val="0"/>
              <w:jc w:val="both"/>
            </w:pPr>
            <w:r w:rsidRPr="007F4F72">
              <w:t>Kas ir "</w:t>
            </w:r>
            <w:proofErr w:type="spellStart"/>
            <w:r w:rsidRPr="00F12CC6">
              <w:rPr>
                <w:i/>
                <w:iCs/>
              </w:rPr>
              <w:t>ex</w:t>
            </w:r>
            <w:proofErr w:type="spellEnd"/>
            <w:r w:rsidRPr="00F12CC6">
              <w:rPr>
                <w:i/>
                <w:iCs/>
              </w:rPr>
              <w:t xml:space="preserve"> </w:t>
            </w:r>
            <w:proofErr w:type="spellStart"/>
            <w:r w:rsidRPr="00F12CC6">
              <w:rPr>
                <w:i/>
                <w:iCs/>
              </w:rPr>
              <w:t>ante</w:t>
            </w:r>
            <w:proofErr w:type="spellEnd"/>
            <w:r w:rsidRPr="007F4F72">
              <w:t xml:space="preserve"> sabiedriskās apspriešanas dokuments", kas ir nepieciešams publiski pieejamai </w:t>
            </w:r>
            <w:proofErr w:type="spellStart"/>
            <w:r w:rsidRPr="007F4F72">
              <w:t>elektromobīļu</w:t>
            </w:r>
            <w:proofErr w:type="spellEnd"/>
            <w:r w:rsidRPr="007F4F72">
              <w:t xml:space="preserve"> uzlādes infrastruktūrai?</w:t>
            </w:r>
          </w:p>
        </w:tc>
        <w:tc>
          <w:tcPr>
            <w:tcW w:w="7194" w:type="dxa"/>
          </w:tcPr>
          <w:p w14:paraId="5AF1FFDF" w14:textId="0A52DA9D" w:rsidR="00F12CC6" w:rsidRDefault="00F12CC6" w:rsidP="00F12CC6">
            <w:pPr>
              <w:autoSpaceDE w:val="0"/>
              <w:autoSpaceDN w:val="0"/>
              <w:jc w:val="both"/>
            </w:pPr>
            <w:proofErr w:type="spellStart"/>
            <w:r>
              <w:rPr>
                <w:i/>
                <w:iCs/>
              </w:rPr>
              <w:t>E</w:t>
            </w:r>
            <w:r w:rsidRPr="00F12CC6">
              <w:rPr>
                <w:i/>
                <w:iCs/>
              </w:rPr>
              <w:t>x</w:t>
            </w:r>
            <w:proofErr w:type="spellEnd"/>
            <w:r w:rsidRPr="00F12CC6">
              <w:rPr>
                <w:i/>
                <w:iCs/>
              </w:rPr>
              <w:t xml:space="preserve"> </w:t>
            </w:r>
            <w:proofErr w:type="spellStart"/>
            <w:r w:rsidRPr="00F12CC6">
              <w:rPr>
                <w:i/>
                <w:iCs/>
              </w:rPr>
              <w:t>ante</w:t>
            </w:r>
            <w:proofErr w:type="spellEnd"/>
            <w:r>
              <w:t xml:space="preserve"> ir latīņu valodas frāze, kas nozīmē “pirms notikuma”. </w:t>
            </w:r>
            <w:proofErr w:type="spellStart"/>
            <w:r w:rsidRPr="00F12CC6">
              <w:rPr>
                <w:i/>
                <w:iCs/>
              </w:rPr>
              <w:t>Ex</w:t>
            </w:r>
            <w:proofErr w:type="spellEnd"/>
            <w:r w:rsidRPr="00F12CC6">
              <w:rPr>
                <w:i/>
                <w:iCs/>
              </w:rPr>
              <w:t xml:space="preserve"> </w:t>
            </w:r>
            <w:proofErr w:type="spellStart"/>
            <w:r w:rsidRPr="00F12CC6">
              <w:rPr>
                <w:i/>
                <w:iCs/>
              </w:rPr>
              <w:t>ante</w:t>
            </w:r>
            <w:proofErr w:type="spellEnd"/>
            <w:r w:rsidRPr="00F12CC6">
              <w:t xml:space="preserve"> sabiedriskās apspriešanas dokuments </w:t>
            </w:r>
            <w:r>
              <w:t>ir attiecināms uz komersantiem, kas piesakās uz atbalstu saskaņā ar regulu Nr</w:t>
            </w:r>
            <w:r>
              <w:rPr>
                <w:rFonts w:eastAsiaTheme="minorHAnsi"/>
                <w:szCs w:val="22"/>
                <w:lang w:eastAsia="en-US"/>
              </w:rPr>
              <w:t>. </w:t>
            </w:r>
            <w:r w:rsidRPr="00F12CC6">
              <w:t>651/2014</w:t>
            </w:r>
            <w:r>
              <w:t xml:space="preserve"> un plāno uzstādīt publiski pieejamus uzlādes punktus (skatīt 36.a pantu:</w:t>
            </w:r>
          </w:p>
          <w:p w14:paraId="6B53D677" w14:textId="750D3059" w:rsidR="00660DF4" w:rsidRPr="00C21EAA" w:rsidRDefault="00F12CC6" w:rsidP="00F12CC6">
            <w:pPr>
              <w:autoSpaceDE w:val="0"/>
              <w:autoSpaceDN w:val="0"/>
              <w:jc w:val="both"/>
            </w:pPr>
            <w:hyperlink r:id="rId11" w:anchor="M6-127" w:history="1">
              <w:r w:rsidRPr="006A64E9">
                <w:rPr>
                  <w:rStyle w:val="Hyperlink"/>
                </w:rPr>
                <w:t>https://eur-lex.europa.eu/legal-content/LV/TXT/?uri=CELEX%3A02014R0651-20230701#M6-127</w:t>
              </w:r>
            </w:hyperlink>
            <w:r>
              <w:t>). Ne regula ne citi normatīvie akti neiz</w:t>
            </w:r>
            <w:r w:rsidR="00E65B06">
              <w:t xml:space="preserve">virza konkrētas prasības sabiedriskās apspriešanas dokumentiem, bet par pamatu var izmantot </w:t>
            </w:r>
            <w:hyperlink r:id="rId12" w:history="1">
              <w:r w:rsidR="00E65B06" w:rsidRPr="00E65B06">
                <w:rPr>
                  <w:rStyle w:val="Hyperlink"/>
                </w:rPr>
                <w:t>Ministru kabineta noteikumos Nr. 639</w:t>
              </w:r>
            </w:hyperlink>
            <w:r w:rsidR="00E65B06">
              <w:t xml:space="preserve"> noteiktos principus.</w:t>
            </w:r>
          </w:p>
        </w:tc>
      </w:tr>
      <w:tr w:rsidR="00660DF4" w:rsidRPr="00C21EAA" w14:paraId="1F6CF7AC" w14:textId="77777777" w:rsidTr="00880642">
        <w:trPr>
          <w:cantSplit/>
        </w:trPr>
        <w:tc>
          <w:tcPr>
            <w:tcW w:w="644" w:type="dxa"/>
          </w:tcPr>
          <w:p w14:paraId="5BFF43A9" w14:textId="7D05E49B" w:rsidR="00660DF4" w:rsidRPr="00C21EAA" w:rsidRDefault="00E65B06" w:rsidP="00F9772C">
            <w:pPr>
              <w:jc w:val="center"/>
            </w:pPr>
            <w:r>
              <w:t>12.</w:t>
            </w:r>
          </w:p>
        </w:tc>
        <w:tc>
          <w:tcPr>
            <w:tcW w:w="6722" w:type="dxa"/>
          </w:tcPr>
          <w:p w14:paraId="6AD38B59" w14:textId="2EBFC693" w:rsidR="00660DF4" w:rsidRPr="00C21EAA" w:rsidRDefault="00E65B06" w:rsidP="00176CD7">
            <w:pPr>
              <w:autoSpaceDE w:val="0"/>
              <w:autoSpaceDN w:val="0"/>
              <w:jc w:val="both"/>
            </w:pPr>
            <w:r w:rsidRPr="00E65B06">
              <w:t>Vai elektromobiļu uzlādes infrastruktūras aktivitātes ietvaros ir atbalstāmas DC mobilās uzlādes (</w:t>
            </w:r>
            <w:proofErr w:type="spellStart"/>
            <w:r w:rsidRPr="00E65B06">
              <w:t>movable</w:t>
            </w:r>
            <w:proofErr w:type="spellEnd"/>
            <w:r w:rsidRPr="00E65B06">
              <w:t xml:space="preserve"> </w:t>
            </w:r>
            <w:proofErr w:type="spellStart"/>
            <w:r w:rsidRPr="00E65B06">
              <w:t>charger</w:t>
            </w:r>
            <w:proofErr w:type="spellEnd"/>
            <w:r w:rsidRPr="00E65B06">
              <w:t>) stacijas izveides izmaksas?</w:t>
            </w:r>
          </w:p>
        </w:tc>
        <w:tc>
          <w:tcPr>
            <w:tcW w:w="7194" w:type="dxa"/>
          </w:tcPr>
          <w:p w14:paraId="5095D72F" w14:textId="69CF247B" w:rsidR="00660DF4" w:rsidRPr="00C21EAA" w:rsidRDefault="00E65B06">
            <w:pPr>
              <w:autoSpaceDE w:val="0"/>
              <w:autoSpaceDN w:val="0"/>
              <w:jc w:val="both"/>
            </w:pPr>
            <w:r>
              <w:t xml:space="preserve">Saskaņā ar </w:t>
            </w:r>
            <w:r w:rsidRPr="009D5759">
              <w:rPr>
                <w:rFonts w:eastAsiaTheme="minorHAnsi"/>
                <w:szCs w:val="22"/>
              </w:rPr>
              <w:t>MK noteikum</w:t>
            </w:r>
            <w:r>
              <w:rPr>
                <w:rFonts w:eastAsiaTheme="minorHAnsi"/>
                <w:szCs w:val="22"/>
              </w:rPr>
              <w:t>i</w:t>
            </w:r>
            <w:r w:rsidRPr="009D5759">
              <w:rPr>
                <w:rFonts w:eastAsiaTheme="minorHAnsi"/>
                <w:szCs w:val="22"/>
              </w:rPr>
              <w:t xml:space="preserve"> Nr.</w:t>
            </w:r>
            <w:r>
              <w:rPr>
                <w:rFonts w:eastAsiaTheme="minorHAnsi"/>
                <w:szCs w:val="22"/>
              </w:rPr>
              <w:t> </w:t>
            </w:r>
            <w:r w:rsidRPr="009D5759">
              <w:rPr>
                <w:rFonts w:eastAsiaTheme="minorHAnsi"/>
                <w:szCs w:val="22"/>
              </w:rPr>
              <w:t>701</w:t>
            </w:r>
            <w:r>
              <w:rPr>
                <w:rFonts w:eastAsiaTheme="minorHAnsi"/>
                <w:szCs w:val="22"/>
              </w:rPr>
              <w:t xml:space="preserve"> 17.2. apakšpunktu, atbalstāma</w:t>
            </w:r>
            <w:r>
              <w:t xml:space="preserve"> ir </w:t>
            </w:r>
            <w:r w:rsidRPr="00E65B06">
              <w:rPr>
                <w:rFonts w:eastAsiaTheme="minorHAnsi"/>
                <w:szCs w:val="22"/>
              </w:rPr>
              <w:t xml:space="preserve">elektromobiļu uzlādes infrastruktūras izveide ar uzlādes punkta izejas jaudu, kas atbilst konkursa ietvaros iegādātā M1, N1, M2 vai N2 elektromobiļa darbības nodrošināšanai. </w:t>
            </w:r>
            <w:r w:rsidRPr="00E65B06">
              <w:rPr>
                <w:rFonts w:eastAsiaTheme="minorHAnsi"/>
                <w:b/>
                <w:bCs/>
                <w:szCs w:val="22"/>
              </w:rPr>
              <w:t xml:space="preserve">Elektromobiļu uzlādes punktiem jāatbilst normatīvajiem aktiem, kas nosaka prasības </w:t>
            </w:r>
            <w:proofErr w:type="spellStart"/>
            <w:r w:rsidRPr="00E65B06">
              <w:rPr>
                <w:rFonts w:eastAsiaTheme="minorHAnsi"/>
                <w:b/>
                <w:bCs/>
                <w:szCs w:val="22"/>
              </w:rPr>
              <w:t>elektrotransportlīdzekļu</w:t>
            </w:r>
            <w:proofErr w:type="spellEnd"/>
            <w:r w:rsidRPr="00E65B06">
              <w:rPr>
                <w:rFonts w:eastAsiaTheme="minorHAnsi"/>
                <w:b/>
                <w:bCs/>
                <w:szCs w:val="22"/>
              </w:rPr>
              <w:t xml:space="preserve"> uzlādes iekārtām</w:t>
            </w:r>
            <w:r>
              <w:rPr>
                <w:rFonts w:eastAsiaTheme="minorHAnsi"/>
                <w:szCs w:val="22"/>
              </w:rPr>
              <w:t xml:space="preserve"> (</w:t>
            </w:r>
            <w:hyperlink r:id="rId13" w:history="1">
              <w:r w:rsidRPr="00E65B06">
                <w:rPr>
                  <w:rStyle w:val="Hyperlink"/>
                  <w:rFonts w:eastAsiaTheme="minorHAnsi"/>
                  <w:szCs w:val="22"/>
                </w:rPr>
                <w:t>Ministru kabineta noteikumi Nr. 78</w:t>
              </w:r>
            </w:hyperlink>
            <w:r>
              <w:rPr>
                <w:rFonts w:eastAsiaTheme="minorHAnsi"/>
                <w:szCs w:val="22"/>
              </w:rPr>
              <w:t xml:space="preserve">). Pirmšķietami </w:t>
            </w:r>
            <w:r w:rsidRPr="00E65B06">
              <w:rPr>
                <w:rFonts w:eastAsiaTheme="minorHAnsi"/>
                <w:szCs w:val="22"/>
              </w:rPr>
              <w:t>DC mobilās uzlādes (</w:t>
            </w:r>
            <w:proofErr w:type="spellStart"/>
            <w:r w:rsidRPr="00E65B06">
              <w:rPr>
                <w:rFonts w:eastAsiaTheme="minorHAnsi"/>
                <w:szCs w:val="22"/>
              </w:rPr>
              <w:t>movable</w:t>
            </w:r>
            <w:proofErr w:type="spellEnd"/>
            <w:r w:rsidRPr="00E65B06">
              <w:rPr>
                <w:rFonts w:eastAsiaTheme="minorHAnsi"/>
                <w:szCs w:val="22"/>
              </w:rPr>
              <w:t xml:space="preserve"> </w:t>
            </w:r>
            <w:proofErr w:type="spellStart"/>
            <w:r w:rsidRPr="00E65B06">
              <w:rPr>
                <w:rFonts w:eastAsiaTheme="minorHAnsi"/>
                <w:szCs w:val="22"/>
              </w:rPr>
              <w:t>charger</w:t>
            </w:r>
            <w:proofErr w:type="spellEnd"/>
            <w:r w:rsidRPr="00E65B06">
              <w:rPr>
                <w:rFonts w:eastAsiaTheme="minorHAnsi"/>
                <w:szCs w:val="22"/>
              </w:rPr>
              <w:t>) stacijas</w:t>
            </w:r>
            <w:r>
              <w:rPr>
                <w:rFonts w:eastAsiaTheme="minorHAnsi"/>
                <w:szCs w:val="22"/>
              </w:rPr>
              <w:t xml:space="preserve"> neatbilst </w:t>
            </w:r>
            <w:r w:rsidRPr="00E65B06">
              <w:rPr>
                <w:rFonts w:eastAsiaTheme="minorHAnsi"/>
                <w:szCs w:val="22"/>
              </w:rPr>
              <w:t>MK noteikum</w:t>
            </w:r>
            <w:r>
              <w:rPr>
                <w:rFonts w:eastAsiaTheme="minorHAnsi"/>
                <w:szCs w:val="22"/>
              </w:rPr>
              <w:t>u</w:t>
            </w:r>
            <w:r w:rsidRPr="00E65B06">
              <w:rPr>
                <w:rFonts w:eastAsiaTheme="minorHAnsi"/>
                <w:szCs w:val="22"/>
              </w:rPr>
              <w:t xml:space="preserve"> Nr. 701</w:t>
            </w:r>
            <w:r>
              <w:rPr>
                <w:rFonts w:eastAsiaTheme="minorHAnsi"/>
                <w:szCs w:val="22"/>
              </w:rPr>
              <w:t xml:space="preserve"> nosacījumiem.</w:t>
            </w:r>
          </w:p>
        </w:tc>
      </w:tr>
      <w:tr w:rsidR="00355B51" w:rsidRPr="00C21EAA" w14:paraId="71314797" w14:textId="77777777" w:rsidTr="00880642">
        <w:trPr>
          <w:cantSplit/>
        </w:trPr>
        <w:tc>
          <w:tcPr>
            <w:tcW w:w="644" w:type="dxa"/>
          </w:tcPr>
          <w:p w14:paraId="114FFAAF" w14:textId="6854ABD6" w:rsidR="00355B51" w:rsidRDefault="00355B51" w:rsidP="00F9772C">
            <w:pPr>
              <w:jc w:val="center"/>
            </w:pPr>
            <w:bookmarkStart w:id="7" w:name="_Hlk183681418"/>
            <w:r>
              <w:t>13.</w:t>
            </w:r>
          </w:p>
        </w:tc>
        <w:tc>
          <w:tcPr>
            <w:tcW w:w="6722" w:type="dxa"/>
          </w:tcPr>
          <w:p w14:paraId="4450D4A1" w14:textId="72F13D21" w:rsidR="00355B51" w:rsidRPr="00E65B06" w:rsidRDefault="00355B51" w:rsidP="00176CD7">
            <w:pPr>
              <w:autoSpaceDE w:val="0"/>
              <w:autoSpaceDN w:val="0"/>
              <w:jc w:val="both"/>
            </w:pPr>
            <w:r w:rsidRPr="00355B51">
              <w:t>Vai uzņēmums, kas īpašumu nomā, var projekta ietvaros veikt ieguldījumus infrastruktūrā? Ja var, kādi ir papildus nosacījumi (piem., nomas līguma ieraksts zemesgrāmatā; minimālais nomas termiņš, u.c.)</w:t>
            </w:r>
            <w:r>
              <w:t>?</w:t>
            </w:r>
          </w:p>
        </w:tc>
        <w:tc>
          <w:tcPr>
            <w:tcW w:w="7194" w:type="dxa"/>
          </w:tcPr>
          <w:p w14:paraId="6BFA0225" w14:textId="6C9ECD3E" w:rsidR="00355B51" w:rsidRDefault="00355B51">
            <w:pPr>
              <w:autoSpaceDE w:val="0"/>
              <w:autoSpaceDN w:val="0"/>
              <w:jc w:val="both"/>
            </w:pPr>
            <w:r>
              <w:t xml:space="preserve">Saskaņā ar </w:t>
            </w:r>
            <w:r w:rsidRPr="009D5759">
              <w:rPr>
                <w:rFonts w:eastAsiaTheme="minorHAnsi"/>
                <w:szCs w:val="22"/>
              </w:rPr>
              <w:t>MK noteikum</w:t>
            </w:r>
            <w:r>
              <w:rPr>
                <w:rFonts w:eastAsiaTheme="minorHAnsi"/>
                <w:szCs w:val="22"/>
              </w:rPr>
              <w:t>i</w:t>
            </w:r>
            <w:r w:rsidRPr="009D5759">
              <w:rPr>
                <w:rFonts w:eastAsiaTheme="minorHAnsi"/>
                <w:szCs w:val="22"/>
              </w:rPr>
              <w:t xml:space="preserve"> Nr.</w:t>
            </w:r>
            <w:r>
              <w:rPr>
                <w:rFonts w:eastAsiaTheme="minorHAnsi"/>
                <w:szCs w:val="22"/>
              </w:rPr>
              <w:t> </w:t>
            </w:r>
            <w:r w:rsidRPr="009D5759">
              <w:rPr>
                <w:rFonts w:eastAsiaTheme="minorHAnsi"/>
                <w:szCs w:val="22"/>
              </w:rPr>
              <w:t>701</w:t>
            </w:r>
            <w:r>
              <w:rPr>
                <w:rFonts w:eastAsiaTheme="minorHAnsi"/>
                <w:szCs w:val="22"/>
              </w:rPr>
              <w:t xml:space="preserve"> 92. punktu jautājumā minētajā gadījumā </w:t>
            </w:r>
            <w:r w:rsidRPr="00355B51">
              <w:rPr>
                <w:rFonts w:eastAsiaTheme="minorHAnsi"/>
                <w:b/>
                <w:bCs/>
                <w:szCs w:val="22"/>
              </w:rPr>
              <w:t>zemesgrāmatā ir jābūt reģistrētam ilgtermiņa nomas līgumam</w:t>
            </w:r>
            <w:r>
              <w:rPr>
                <w:rFonts w:eastAsiaTheme="minorHAnsi"/>
                <w:szCs w:val="22"/>
              </w:rPr>
              <w:t>, kas paredz arī apbūves tiesības.</w:t>
            </w:r>
          </w:p>
        </w:tc>
      </w:tr>
      <w:tr w:rsidR="00355B51" w:rsidRPr="00C21EAA" w14:paraId="799C2717" w14:textId="77777777" w:rsidTr="00880642">
        <w:trPr>
          <w:cantSplit/>
        </w:trPr>
        <w:tc>
          <w:tcPr>
            <w:tcW w:w="644" w:type="dxa"/>
          </w:tcPr>
          <w:p w14:paraId="0A945954" w14:textId="0348A0EE" w:rsidR="00355B51" w:rsidRDefault="00355B51" w:rsidP="00F9772C">
            <w:pPr>
              <w:jc w:val="center"/>
            </w:pPr>
            <w:r>
              <w:t>14.</w:t>
            </w:r>
          </w:p>
        </w:tc>
        <w:tc>
          <w:tcPr>
            <w:tcW w:w="6722" w:type="dxa"/>
          </w:tcPr>
          <w:p w14:paraId="7833AD86" w14:textId="013B2984" w:rsidR="00355B51" w:rsidRPr="00E65B06" w:rsidRDefault="00355B51" w:rsidP="00176CD7">
            <w:pPr>
              <w:autoSpaceDE w:val="0"/>
              <w:autoSpaceDN w:val="0"/>
              <w:jc w:val="both"/>
            </w:pPr>
            <w:r w:rsidRPr="00355B51">
              <w:t>Mēs gribētu uzstādīt 10 publiski nepieejamus uzlādes punktus ar jaudu virs 22-150kW. Prezentācijā minēts, ka finansējums vienam šādam uzlādes punktam ir līdz 4000 EUR, bet maksimālā atbalsta intensitāte - 85% no visām uzlādes infrastruktūras attiecināmajām izmaksām. Vai pareizi saprotu, ka, maksimālā atbalsta summa uz kādu mēs varētu pretendēt šādā scenārijā ir 40 000 EUR vai 85% no attiecināmajām izmaksām?</w:t>
            </w:r>
          </w:p>
        </w:tc>
        <w:tc>
          <w:tcPr>
            <w:tcW w:w="7194" w:type="dxa"/>
          </w:tcPr>
          <w:p w14:paraId="7194EEDA" w14:textId="769C5D23" w:rsidR="00355B51" w:rsidRDefault="00355B51">
            <w:pPr>
              <w:autoSpaceDE w:val="0"/>
              <w:autoSpaceDN w:val="0"/>
              <w:jc w:val="both"/>
            </w:pPr>
            <w:r>
              <w:rPr>
                <w:rFonts w:eastAsiaTheme="minorHAnsi"/>
                <w:szCs w:val="22"/>
              </w:rPr>
              <w:t>Jautājumā minētajā gadījumā m</w:t>
            </w:r>
            <w:r>
              <w:t>aksimālā atbalsta summa pašvaldībām, tiešās pārvaldes iestādēm un komersantiem, kas piesakās saskaņā ar regulu</w:t>
            </w:r>
            <w:r w:rsidRPr="00355B51">
              <w:rPr>
                <w:rFonts w:eastAsiaTheme="minorHAnsi"/>
                <w:szCs w:val="22"/>
                <w:lang w:eastAsia="en-US"/>
              </w:rPr>
              <w:t xml:space="preserve"> </w:t>
            </w:r>
            <w:r w:rsidRPr="00355B51">
              <w:t>Nr. 2023/2831</w:t>
            </w:r>
            <w:r>
              <w:t xml:space="preserve"> </w:t>
            </w:r>
            <w:r w:rsidRPr="00355B51">
              <w:rPr>
                <w:b/>
                <w:bCs/>
              </w:rPr>
              <w:t>nepārsniedz 85% no elektromobiļu uzlādes infrastruktūras attiecināmajām izmaksām, bet ne vairāk kā 40 000 </w:t>
            </w:r>
            <w:r w:rsidRPr="00355B51">
              <w:rPr>
                <w:b/>
                <w:bCs/>
                <w:i/>
                <w:iCs/>
              </w:rPr>
              <w:t>euro</w:t>
            </w:r>
            <w:r>
              <w:t xml:space="preserve">. Norādām, ka lai saņemtu atbalstu par 10 </w:t>
            </w:r>
            <w:r w:rsidRPr="00355B51">
              <w:t>publiski nepieejam</w:t>
            </w:r>
            <w:r>
              <w:t>u</w:t>
            </w:r>
            <w:r w:rsidRPr="00355B51">
              <w:t xml:space="preserve"> uzlādes punk</w:t>
            </w:r>
            <w:r>
              <w:t xml:space="preserve">tu uzstādīšanu, ir jāiegādājas konkursa ietvaros vismaz 10 elektromobiļi </w:t>
            </w:r>
            <w:r w:rsidR="004A1466">
              <w:t>ar attiecīgiem parametriem,</w:t>
            </w:r>
            <w:r>
              <w:t xml:space="preserve"> kas pamatotu nepieciešamību pēc 10 </w:t>
            </w:r>
            <w:r w:rsidRPr="00355B51">
              <w:t>publiski nepieejam</w:t>
            </w:r>
            <w:r>
              <w:t>u</w:t>
            </w:r>
            <w:r w:rsidRPr="00355B51">
              <w:t xml:space="preserve"> uzlādes punk</w:t>
            </w:r>
            <w:r>
              <w:t>tu uzstādīšan</w:t>
            </w:r>
            <w:r w:rsidR="004A1466">
              <w:t>as nepieciešamības.</w:t>
            </w:r>
          </w:p>
        </w:tc>
      </w:tr>
      <w:bookmarkEnd w:id="4"/>
      <w:tr w:rsidR="00660DF4" w:rsidRPr="00C21EAA" w14:paraId="2C6BD826" w14:textId="77777777" w:rsidTr="00880642">
        <w:trPr>
          <w:cantSplit/>
        </w:trPr>
        <w:tc>
          <w:tcPr>
            <w:tcW w:w="644" w:type="dxa"/>
          </w:tcPr>
          <w:p w14:paraId="326653E8" w14:textId="47CDDCF8" w:rsidR="00660DF4" w:rsidRPr="00C21EAA" w:rsidRDefault="004A1466" w:rsidP="00F9772C">
            <w:pPr>
              <w:jc w:val="center"/>
            </w:pPr>
            <w:r>
              <w:t>15.</w:t>
            </w:r>
          </w:p>
        </w:tc>
        <w:tc>
          <w:tcPr>
            <w:tcW w:w="6722" w:type="dxa"/>
          </w:tcPr>
          <w:p w14:paraId="1AADBDA1" w14:textId="1C411D0D" w:rsidR="00660DF4" w:rsidRPr="00C21EAA" w:rsidRDefault="004A1466" w:rsidP="00176CD7">
            <w:pPr>
              <w:autoSpaceDE w:val="0"/>
              <w:autoSpaceDN w:val="0"/>
              <w:jc w:val="both"/>
            </w:pPr>
            <w:r w:rsidRPr="004A1466">
              <w:t>Vai attiecināmajās izmaksās ir iekļautas būvniecības izmaksas (darbs un materiāli)?</w:t>
            </w:r>
          </w:p>
        </w:tc>
        <w:tc>
          <w:tcPr>
            <w:tcW w:w="7194" w:type="dxa"/>
          </w:tcPr>
          <w:p w14:paraId="165094DE" w14:textId="3E619CCD" w:rsidR="00660DF4" w:rsidRPr="00C21EAA" w:rsidRDefault="004A1466">
            <w:pPr>
              <w:autoSpaceDE w:val="0"/>
              <w:autoSpaceDN w:val="0"/>
              <w:jc w:val="both"/>
            </w:pPr>
            <w:r>
              <w:t>B</w:t>
            </w:r>
            <w:r w:rsidRPr="004A1466">
              <w:t>ūvniecības izmaksas (darbs un materiāli)</w:t>
            </w:r>
            <w:r>
              <w:t xml:space="preserve"> </w:t>
            </w:r>
            <w:r w:rsidRPr="00853455">
              <w:rPr>
                <w:b/>
                <w:bCs/>
              </w:rPr>
              <w:t xml:space="preserve">ir attiecināmas izmaksas </w:t>
            </w:r>
            <w:r w:rsidRPr="00853455">
              <w:rPr>
                <w:rFonts w:eastAsiaTheme="minorHAnsi"/>
                <w:b/>
                <w:bCs/>
                <w:szCs w:val="22"/>
              </w:rPr>
              <w:t>MK noteikum</w:t>
            </w:r>
            <w:r w:rsidR="00853455" w:rsidRPr="00853455">
              <w:rPr>
                <w:rFonts w:eastAsiaTheme="minorHAnsi"/>
                <w:b/>
                <w:bCs/>
                <w:szCs w:val="22"/>
              </w:rPr>
              <w:t>os</w:t>
            </w:r>
            <w:r w:rsidRPr="00853455">
              <w:rPr>
                <w:rFonts w:eastAsiaTheme="minorHAnsi"/>
                <w:b/>
                <w:bCs/>
                <w:szCs w:val="22"/>
              </w:rPr>
              <w:t xml:space="preserve"> Nr. 701 17.2. </w:t>
            </w:r>
            <w:r w:rsidR="00405AAA" w:rsidRPr="00853455">
              <w:rPr>
                <w:rFonts w:eastAsiaTheme="minorHAnsi"/>
                <w:b/>
                <w:bCs/>
                <w:szCs w:val="22"/>
              </w:rPr>
              <w:t>un 17.3. apakš</w:t>
            </w:r>
            <w:r w:rsidRPr="00853455">
              <w:rPr>
                <w:rFonts w:eastAsiaTheme="minorHAnsi"/>
                <w:b/>
                <w:bCs/>
                <w:szCs w:val="22"/>
              </w:rPr>
              <w:t>punkt</w:t>
            </w:r>
            <w:r w:rsidR="00405AAA" w:rsidRPr="00853455">
              <w:rPr>
                <w:rFonts w:eastAsiaTheme="minorHAnsi"/>
                <w:b/>
                <w:bCs/>
                <w:szCs w:val="22"/>
              </w:rPr>
              <w:t>os minētāj</w:t>
            </w:r>
            <w:r w:rsidR="00853455" w:rsidRPr="00853455">
              <w:rPr>
                <w:rFonts w:eastAsiaTheme="minorHAnsi"/>
                <w:b/>
                <w:bCs/>
                <w:szCs w:val="22"/>
              </w:rPr>
              <w:t>ās aktivitātēs</w:t>
            </w:r>
            <w:r w:rsidR="00853455">
              <w:rPr>
                <w:rFonts w:eastAsiaTheme="minorHAnsi"/>
                <w:szCs w:val="22"/>
              </w:rPr>
              <w:t xml:space="preserve">. Vēršam uzmanību, ka </w:t>
            </w:r>
            <w:r w:rsidR="00853455" w:rsidRPr="00853455">
              <w:rPr>
                <w:rFonts w:eastAsiaTheme="minorHAnsi"/>
                <w:szCs w:val="22"/>
              </w:rPr>
              <w:t>teritorijas labiekārtošanas un apzaļumošanas izmaksas</w:t>
            </w:r>
            <w:r w:rsidR="00853455">
              <w:rPr>
                <w:rFonts w:eastAsiaTheme="minorHAnsi"/>
                <w:szCs w:val="22"/>
              </w:rPr>
              <w:t xml:space="preserve"> nav attiecināmas izmaksas.</w:t>
            </w:r>
          </w:p>
        </w:tc>
      </w:tr>
      <w:tr w:rsidR="004A1466" w:rsidRPr="00C21EAA" w14:paraId="7EEE5397" w14:textId="77777777" w:rsidTr="00880642">
        <w:trPr>
          <w:cantSplit/>
        </w:trPr>
        <w:tc>
          <w:tcPr>
            <w:tcW w:w="644" w:type="dxa"/>
          </w:tcPr>
          <w:p w14:paraId="7FD61D9F" w14:textId="290FFF2E" w:rsidR="004A1466" w:rsidRDefault="00853455" w:rsidP="00F9772C">
            <w:pPr>
              <w:jc w:val="center"/>
            </w:pPr>
            <w:r>
              <w:t>16.</w:t>
            </w:r>
          </w:p>
        </w:tc>
        <w:tc>
          <w:tcPr>
            <w:tcW w:w="6722" w:type="dxa"/>
          </w:tcPr>
          <w:p w14:paraId="543B6C19" w14:textId="2495BA11" w:rsidR="004A1466" w:rsidRPr="004A1466" w:rsidRDefault="00853455" w:rsidP="00176CD7">
            <w:pPr>
              <w:autoSpaceDE w:val="0"/>
              <w:autoSpaceDN w:val="0"/>
              <w:jc w:val="both"/>
            </w:pPr>
            <w:r w:rsidRPr="00853455">
              <w:t>Vai attiecināmajās izmaksās varētu iekļaut izmaksas, kas saistītas ar elektrības jaudas palielināšanu tīklā (darbs, materiāli, dokumenti)?</w:t>
            </w:r>
          </w:p>
        </w:tc>
        <w:tc>
          <w:tcPr>
            <w:tcW w:w="7194" w:type="dxa"/>
          </w:tcPr>
          <w:p w14:paraId="06AEE75B" w14:textId="2CC78C6D" w:rsidR="004A1466" w:rsidRPr="00C21EAA" w:rsidRDefault="00853455">
            <w:pPr>
              <w:autoSpaceDE w:val="0"/>
              <w:autoSpaceDN w:val="0"/>
              <w:jc w:val="both"/>
            </w:pPr>
            <w:r>
              <w:t>I</w:t>
            </w:r>
            <w:r w:rsidRPr="00853455">
              <w:t>zmaksas, kas saistītas ar elektrības jaudas palielināšanu tīklā</w:t>
            </w:r>
            <w:r>
              <w:t xml:space="preserve">, </w:t>
            </w:r>
            <w:r w:rsidRPr="00853455">
              <w:rPr>
                <w:b/>
                <w:bCs/>
              </w:rPr>
              <w:t xml:space="preserve">nav attiecināmās izmaksas </w:t>
            </w:r>
            <w:r w:rsidRPr="00853455">
              <w:t xml:space="preserve">saskaņā ar </w:t>
            </w:r>
            <w:r w:rsidRPr="00853455">
              <w:rPr>
                <w:rFonts w:eastAsiaTheme="minorHAnsi"/>
                <w:szCs w:val="22"/>
              </w:rPr>
              <w:t>MK noteikumiem Nr. 701.</w:t>
            </w:r>
          </w:p>
        </w:tc>
      </w:tr>
      <w:tr w:rsidR="004A1466" w:rsidRPr="00C21EAA" w14:paraId="1687185E" w14:textId="77777777" w:rsidTr="00880642">
        <w:trPr>
          <w:cantSplit/>
        </w:trPr>
        <w:tc>
          <w:tcPr>
            <w:tcW w:w="644" w:type="dxa"/>
          </w:tcPr>
          <w:p w14:paraId="1809B747" w14:textId="044BE84B" w:rsidR="004A1466" w:rsidRDefault="00853455" w:rsidP="00F9772C">
            <w:pPr>
              <w:jc w:val="center"/>
            </w:pPr>
            <w:r>
              <w:lastRenderedPageBreak/>
              <w:t>17.</w:t>
            </w:r>
          </w:p>
        </w:tc>
        <w:tc>
          <w:tcPr>
            <w:tcW w:w="6722" w:type="dxa"/>
          </w:tcPr>
          <w:p w14:paraId="47C8D62A" w14:textId="43F12E49" w:rsidR="004A1466" w:rsidRPr="004A1466" w:rsidRDefault="00853455" w:rsidP="00176CD7">
            <w:pPr>
              <w:autoSpaceDE w:val="0"/>
              <w:autoSpaceDN w:val="0"/>
              <w:jc w:val="both"/>
            </w:pPr>
            <w:r w:rsidRPr="00853455">
              <w:t xml:space="preserve">Mēs plānojam iesniegt pieteikumu atbalstam elektromobiļu iegādei un uzlādes infrastruktūras ieviešanai. Šobrīd vēl visas tehniskās nianses par iespēju ieviest uzlādes infrastruktūru mums nav. Attiecīgi, ja pēc projekta iesniegšanas mēs saprotam, ka tehniski izveidot jaunas uzlādes stacijas mūsu īpašumā nav iespējams, vai pieteikumu var mainīt, lai pretendētu uz atbalstu tikai </w:t>
            </w:r>
            <w:r w:rsidRPr="00E65B06">
              <w:t xml:space="preserve">elektromobiļu </w:t>
            </w:r>
            <w:r w:rsidRPr="00853455">
              <w:t>iegādei?</w:t>
            </w:r>
          </w:p>
        </w:tc>
        <w:tc>
          <w:tcPr>
            <w:tcW w:w="7194" w:type="dxa"/>
          </w:tcPr>
          <w:p w14:paraId="7ECCEC03" w14:textId="2E0573B3" w:rsidR="004A1466" w:rsidRPr="00C21EAA" w:rsidRDefault="00853455">
            <w:pPr>
              <w:autoSpaceDE w:val="0"/>
              <w:autoSpaceDN w:val="0"/>
              <w:jc w:val="both"/>
            </w:pPr>
            <w:r>
              <w:t xml:space="preserve">Projekta iesniedzējam </w:t>
            </w:r>
            <w:r w:rsidRPr="000C748F">
              <w:rPr>
                <w:b/>
                <w:bCs/>
              </w:rPr>
              <w:t xml:space="preserve">ir tiesības mainīt </w:t>
            </w:r>
            <w:r w:rsidR="000C748F" w:rsidRPr="000C748F">
              <w:rPr>
                <w:b/>
                <w:bCs/>
              </w:rPr>
              <w:t>projekta iesniegumu</w:t>
            </w:r>
            <w:r w:rsidR="000C748F">
              <w:t xml:space="preserve"> un izslēgt aktivitātes no projekta iesnieguma </w:t>
            </w:r>
            <w:r w:rsidR="000C748F" w:rsidRPr="000C748F">
              <w:rPr>
                <w:b/>
                <w:bCs/>
              </w:rPr>
              <w:t>vērtēšanas laikā</w:t>
            </w:r>
            <w:r w:rsidR="000C748F">
              <w:t>. Precizējumi un izmaiņas, kas tiks iesniegti pēc projekta iesnieguma izskatīšanas vērtēšanas komisijas sēdē, netiks ņemti vērā.</w:t>
            </w:r>
          </w:p>
        </w:tc>
      </w:tr>
      <w:tr w:rsidR="004A4AF8" w:rsidRPr="00C21EAA" w14:paraId="3C359DE5" w14:textId="77777777" w:rsidTr="00880642">
        <w:trPr>
          <w:cantSplit/>
        </w:trPr>
        <w:tc>
          <w:tcPr>
            <w:tcW w:w="644" w:type="dxa"/>
          </w:tcPr>
          <w:p w14:paraId="26BF101F" w14:textId="0AF55621" w:rsidR="004A4AF8" w:rsidRDefault="004A4AF8" w:rsidP="00F9772C">
            <w:pPr>
              <w:jc w:val="center"/>
            </w:pPr>
            <w:bookmarkStart w:id="8" w:name="_Hlk183782204"/>
            <w:r>
              <w:lastRenderedPageBreak/>
              <w:t>18.</w:t>
            </w:r>
          </w:p>
        </w:tc>
        <w:tc>
          <w:tcPr>
            <w:tcW w:w="6722" w:type="dxa"/>
          </w:tcPr>
          <w:p w14:paraId="0ADA2BBD" w14:textId="7E5D6A9E" w:rsidR="004A4AF8" w:rsidRPr="00853455" w:rsidRDefault="004D0D3C" w:rsidP="004A4AF8">
            <w:pPr>
              <w:autoSpaceDE w:val="0"/>
              <w:autoSpaceDN w:val="0"/>
              <w:jc w:val="both"/>
            </w:pPr>
            <w:r>
              <w:t xml:space="preserve">Pašvaldības </w:t>
            </w:r>
            <w:r w:rsidR="004A4AF8">
              <w:t xml:space="preserve">SIA kapitāldaļu turētājs ir pašvaldība un vēlas pieteikties atbalstam pēc </w:t>
            </w:r>
            <w:proofErr w:type="spellStart"/>
            <w:r w:rsidR="004A4AF8" w:rsidRPr="004A4AF8">
              <w:rPr>
                <w:i/>
                <w:iCs/>
              </w:rPr>
              <w:t>de</w:t>
            </w:r>
            <w:proofErr w:type="spellEnd"/>
            <w:r w:rsidR="004A4AF8" w:rsidRPr="004A4AF8">
              <w:rPr>
                <w:i/>
                <w:iCs/>
              </w:rPr>
              <w:t xml:space="preserve"> minimis</w:t>
            </w:r>
            <w:r w:rsidR="004A4AF8">
              <w:t xml:space="preserve"> regulas nosacījumiem. Lūdzam sniegt skaidrojumu, vai pieejamā </w:t>
            </w:r>
            <w:proofErr w:type="spellStart"/>
            <w:r w:rsidR="004A4AF8" w:rsidRPr="004A4AF8">
              <w:rPr>
                <w:i/>
                <w:iCs/>
              </w:rPr>
              <w:t>de</w:t>
            </w:r>
            <w:proofErr w:type="spellEnd"/>
            <w:r w:rsidR="004A4AF8" w:rsidRPr="004A4AF8">
              <w:rPr>
                <w:i/>
                <w:iCs/>
              </w:rPr>
              <w:t xml:space="preserve"> minimis</w:t>
            </w:r>
            <w:r w:rsidR="004A4AF8">
              <w:t xml:space="preserve"> atbalsta aprēķinā ir jāņem vērā saistītie uzņēmumi, kas veidojas caur pašvaldību?</w:t>
            </w:r>
          </w:p>
        </w:tc>
        <w:tc>
          <w:tcPr>
            <w:tcW w:w="7194" w:type="dxa"/>
          </w:tcPr>
          <w:p w14:paraId="6DB27503" w14:textId="48320920" w:rsidR="004A4AF8" w:rsidRDefault="004A4AF8">
            <w:pPr>
              <w:autoSpaceDE w:val="0"/>
              <w:autoSpaceDN w:val="0"/>
              <w:jc w:val="both"/>
            </w:pPr>
            <w:r w:rsidRPr="004A4AF8">
              <w:t>Saskaņā ar MK noteikum</w:t>
            </w:r>
            <w:r>
              <w:t>u</w:t>
            </w:r>
            <w:r w:rsidRPr="004A4AF8">
              <w:t xml:space="preserve"> Nr. 701 92. punktu</w:t>
            </w:r>
            <w:r>
              <w:t>, ko</w:t>
            </w:r>
            <w:r w:rsidRPr="004A4AF8">
              <w:t>mersantiem atbalstu aktivitāšu īstenošanai sniedz saskaņā ar Regulu Nr. 2023/2831</w:t>
            </w:r>
            <w:r>
              <w:t>,</w:t>
            </w:r>
            <w:r w:rsidRPr="004A4AF8">
              <w:t xml:space="preserve"> </w:t>
            </w:r>
            <w:r>
              <w:t>j</w:t>
            </w:r>
            <w:r w:rsidRPr="004A4AF8">
              <w:t xml:space="preserve">a komersantam </w:t>
            </w:r>
            <w:r>
              <w:t>ir</w:t>
            </w:r>
            <w:r w:rsidRPr="004A4AF8">
              <w:t xml:space="preserve"> pieejams </w:t>
            </w:r>
            <w:r w:rsidRPr="004A4AF8">
              <w:rPr>
                <w:i/>
                <w:iCs/>
              </w:rPr>
              <w:t>de minimis</w:t>
            </w:r>
            <w:r w:rsidRPr="004A4AF8">
              <w:t xml:space="preserve"> limits vismaz </w:t>
            </w:r>
            <w:proofErr w:type="spellStart"/>
            <w:r w:rsidRPr="004A4AF8">
              <w:t>granta</w:t>
            </w:r>
            <w:proofErr w:type="spellEnd"/>
            <w:r w:rsidRPr="004A4AF8">
              <w:t xml:space="preserve"> ekvivalenta apmērā</w:t>
            </w:r>
            <w:r>
              <w:t xml:space="preserve">. Lai noteiktu </w:t>
            </w:r>
            <w:proofErr w:type="spellStart"/>
            <w:r w:rsidRPr="004A4AF8">
              <w:rPr>
                <w:i/>
                <w:iCs/>
              </w:rPr>
              <w:t>de</w:t>
            </w:r>
            <w:proofErr w:type="spellEnd"/>
            <w:r w:rsidRPr="004A4AF8">
              <w:rPr>
                <w:i/>
                <w:iCs/>
              </w:rPr>
              <w:t xml:space="preserve"> minimis</w:t>
            </w:r>
            <w:r w:rsidRPr="004A4AF8">
              <w:t xml:space="preserve"> limit</w:t>
            </w:r>
            <w:r>
              <w:t xml:space="preserve">u ir jāvadās saskaņā ar </w:t>
            </w:r>
            <w:r w:rsidRPr="004A4AF8">
              <w:t>Regul</w:t>
            </w:r>
            <w:r>
              <w:t>ā</w:t>
            </w:r>
            <w:r w:rsidRPr="004A4AF8">
              <w:t xml:space="preserve"> Nr. 2023/2831</w:t>
            </w:r>
            <w:r>
              <w:t xml:space="preserve"> noteikto kārtību.</w:t>
            </w:r>
            <w:r w:rsidR="005447DA">
              <w:t xml:space="preserve"> </w:t>
            </w:r>
            <w:r w:rsidR="004D0D3C" w:rsidRPr="004D0D3C">
              <w:rPr>
                <w:b/>
                <w:bCs/>
              </w:rPr>
              <w:t xml:space="preserve">Jautājumā minētajā gadījumā pieejamā </w:t>
            </w:r>
            <w:proofErr w:type="spellStart"/>
            <w:r w:rsidR="004D0D3C" w:rsidRPr="004D0D3C">
              <w:rPr>
                <w:b/>
                <w:bCs/>
                <w:i/>
                <w:iCs/>
              </w:rPr>
              <w:t>de</w:t>
            </w:r>
            <w:proofErr w:type="spellEnd"/>
            <w:r w:rsidR="004D0D3C" w:rsidRPr="004D0D3C">
              <w:rPr>
                <w:b/>
                <w:bCs/>
                <w:i/>
                <w:iCs/>
              </w:rPr>
              <w:t xml:space="preserve"> minimis</w:t>
            </w:r>
            <w:r w:rsidR="004D0D3C" w:rsidRPr="004D0D3C">
              <w:rPr>
                <w:b/>
                <w:bCs/>
              </w:rPr>
              <w:t xml:space="preserve"> limita aprēķinā ir jāņem vērā </w:t>
            </w:r>
            <w:r w:rsidR="004D0D3C">
              <w:rPr>
                <w:b/>
                <w:bCs/>
              </w:rPr>
              <w:t xml:space="preserve">tikai </w:t>
            </w:r>
            <w:r w:rsidR="004D0D3C" w:rsidRPr="004D0D3C">
              <w:rPr>
                <w:b/>
                <w:bCs/>
              </w:rPr>
              <w:t xml:space="preserve">pašvaldības un pašvaldības SIA iepriekš saņemtais </w:t>
            </w:r>
            <w:proofErr w:type="spellStart"/>
            <w:r w:rsidR="004D0D3C" w:rsidRPr="004D0D3C">
              <w:rPr>
                <w:b/>
                <w:bCs/>
                <w:i/>
                <w:iCs/>
              </w:rPr>
              <w:t>de</w:t>
            </w:r>
            <w:proofErr w:type="spellEnd"/>
            <w:r w:rsidR="004D0D3C" w:rsidRPr="004D0D3C">
              <w:rPr>
                <w:b/>
                <w:bCs/>
                <w:i/>
                <w:iCs/>
              </w:rPr>
              <w:t xml:space="preserve"> minimis</w:t>
            </w:r>
            <w:r w:rsidR="004D0D3C" w:rsidRPr="004D0D3C">
              <w:rPr>
                <w:b/>
                <w:bCs/>
              </w:rPr>
              <w:t xml:space="preserve"> atbalsts, bet nav jāņem vērā </w:t>
            </w:r>
            <w:r w:rsidR="004D0D3C">
              <w:rPr>
                <w:b/>
                <w:bCs/>
              </w:rPr>
              <w:t xml:space="preserve">citi pašvaldības </w:t>
            </w:r>
            <w:r w:rsidR="004D0D3C" w:rsidRPr="004D0D3C">
              <w:rPr>
                <w:b/>
                <w:bCs/>
              </w:rPr>
              <w:t xml:space="preserve">saistītie uzņēmumi, kuros ir vienots īpašnieks-pašvaldība (minētā kārtība nav piemērojama, ja komersanta kapitāla daļu </w:t>
            </w:r>
            <w:r w:rsidR="004D0D3C">
              <w:rPr>
                <w:b/>
                <w:bCs/>
              </w:rPr>
              <w:t xml:space="preserve">vairākuma </w:t>
            </w:r>
            <w:r w:rsidR="004D0D3C" w:rsidRPr="004D0D3C">
              <w:rPr>
                <w:b/>
                <w:bCs/>
              </w:rPr>
              <w:t xml:space="preserve">īpašnieks </w:t>
            </w:r>
            <w:r w:rsidR="004D0D3C">
              <w:rPr>
                <w:b/>
                <w:bCs/>
                <w:u w:val="single"/>
              </w:rPr>
              <w:t>nav</w:t>
            </w:r>
            <w:r w:rsidR="004D0D3C" w:rsidRPr="004D0D3C">
              <w:rPr>
                <w:b/>
                <w:bCs/>
                <w:u w:val="single"/>
              </w:rPr>
              <w:t xml:space="preserve"> </w:t>
            </w:r>
            <w:r w:rsidR="004D0D3C">
              <w:rPr>
                <w:b/>
                <w:bCs/>
                <w:u w:val="single"/>
              </w:rPr>
              <w:t>pašvaldība vai valsts</w:t>
            </w:r>
            <w:r w:rsidR="004D0D3C" w:rsidRPr="004D0D3C">
              <w:rPr>
                <w:b/>
                <w:bCs/>
              </w:rPr>
              <w:t>).</w:t>
            </w:r>
          </w:p>
          <w:p w14:paraId="69993AA7" w14:textId="77777777" w:rsidR="005447DA" w:rsidRDefault="005447DA" w:rsidP="004A4AF8">
            <w:pPr>
              <w:autoSpaceDE w:val="0"/>
              <w:autoSpaceDN w:val="0"/>
              <w:jc w:val="both"/>
            </w:pPr>
          </w:p>
          <w:p w14:paraId="185CB941" w14:textId="479CE8BB" w:rsidR="004A4AF8" w:rsidRDefault="004A4AF8" w:rsidP="004A4AF8">
            <w:pPr>
              <w:autoSpaceDE w:val="0"/>
              <w:autoSpaceDN w:val="0"/>
              <w:jc w:val="both"/>
            </w:pPr>
            <w:r>
              <w:t xml:space="preserve">Saskaņā ar </w:t>
            </w:r>
            <w:r w:rsidRPr="004A4AF8">
              <w:t>Regul</w:t>
            </w:r>
            <w:r>
              <w:t>as</w:t>
            </w:r>
            <w:r w:rsidRPr="004A4AF8">
              <w:t xml:space="preserve"> Nr. 2023/2831</w:t>
            </w:r>
            <w:r>
              <w:t xml:space="preserve"> 2. panta 2. punktu “</w:t>
            </w:r>
            <w:r w:rsidRPr="004A4AF8">
              <w:rPr>
                <w:u w:val="single"/>
              </w:rPr>
              <w:t>viens vienots uzņēmums</w:t>
            </w:r>
            <w:r>
              <w:t>” nozīmē visus uzņēmumus, kuru starpā pastāv vismaz vienas no šādām attiecībām:</w:t>
            </w:r>
          </w:p>
          <w:p w14:paraId="360804B9" w14:textId="1D0E97A9" w:rsidR="004A4AF8" w:rsidRDefault="004A4AF8" w:rsidP="004A4AF8">
            <w:pPr>
              <w:autoSpaceDE w:val="0"/>
              <w:autoSpaceDN w:val="0"/>
              <w:jc w:val="both"/>
            </w:pPr>
            <w:r>
              <w:t>a) vienam uzņēmumam ir kapitāla daļu īpašnieku vai dalībnieku balsstiesību vairākums citā uzņēmumā;</w:t>
            </w:r>
          </w:p>
          <w:p w14:paraId="3D114804" w14:textId="440CBD9A" w:rsidR="004A4AF8" w:rsidRDefault="004A4AF8" w:rsidP="004A4AF8">
            <w:pPr>
              <w:autoSpaceDE w:val="0"/>
              <w:autoSpaceDN w:val="0"/>
              <w:jc w:val="both"/>
            </w:pPr>
            <w:r>
              <w:t>b) vienam uzņēmumam ir tiesības iecelt vai atlaist cita uzņēmuma pārvaldes, vadības vai uzraudzības struktūras locekļu vairākumu;</w:t>
            </w:r>
          </w:p>
          <w:p w14:paraId="49706DD6" w14:textId="6EEA0D88" w:rsidR="004A4AF8" w:rsidRDefault="004A4AF8" w:rsidP="004A4AF8">
            <w:pPr>
              <w:autoSpaceDE w:val="0"/>
              <w:autoSpaceDN w:val="0"/>
              <w:jc w:val="both"/>
            </w:pPr>
            <w:r>
              <w:t>c) vienam uzņēmumam ir tiesības īstenot dominējošu ietekmi pār citu uzņēmumu saskaņā ar līgumu, kas noslēgts ar šo uzņēmumu, vai saskaņā ar tā dibināšanas līguma klauzulu vai statūtiem;</w:t>
            </w:r>
          </w:p>
          <w:p w14:paraId="0BCCCCD6" w14:textId="76DED745" w:rsidR="004A4AF8" w:rsidRDefault="004A4AF8" w:rsidP="004A4AF8">
            <w:pPr>
              <w:autoSpaceDE w:val="0"/>
              <w:autoSpaceDN w:val="0"/>
              <w:jc w:val="both"/>
            </w:pPr>
            <w:r>
              <w:t>d) 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4ADAE078" w14:textId="77777777" w:rsidR="004A4AF8" w:rsidRDefault="004A4AF8" w:rsidP="004A4AF8">
            <w:pPr>
              <w:autoSpaceDE w:val="0"/>
              <w:autoSpaceDN w:val="0"/>
              <w:jc w:val="both"/>
            </w:pPr>
          </w:p>
          <w:p w14:paraId="2B309E32" w14:textId="77777777" w:rsidR="004A4AF8" w:rsidRDefault="004A4AF8" w:rsidP="004A4AF8">
            <w:pPr>
              <w:autoSpaceDE w:val="0"/>
              <w:autoSpaceDN w:val="0"/>
              <w:jc w:val="both"/>
            </w:pPr>
            <w:r>
              <w:t>Uzņēmumi, kuriem kādas no a)–d) apakšpunktā minētajām attiecībām pastāv ar viena vai vairāku citu uzņēmumu starpniecību, arī ir uzskatāmi par vienu vienotu uzņēmumu.</w:t>
            </w:r>
          </w:p>
          <w:p w14:paraId="196BA507" w14:textId="77777777" w:rsidR="004A4AF8" w:rsidRDefault="004A4AF8" w:rsidP="004A4AF8">
            <w:pPr>
              <w:autoSpaceDE w:val="0"/>
              <w:autoSpaceDN w:val="0"/>
              <w:jc w:val="both"/>
            </w:pPr>
          </w:p>
          <w:p w14:paraId="6ECCA728" w14:textId="7817E443" w:rsidR="005447DA" w:rsidRDefault="005447DA" w:rsidP="004A4AF8">
            <w:pPr>
              <w:autoSpaceDE w:val="0"/>
              <w:autoSpaceDN w:val="0"/>
              <w:jc w:val="both"/>
            </w:pPr>
            <w:r w:rsidRPr="004A4AF8">
              <w:t>Regul</w:t>
            </w:r>
            <w:r>
              <w:t>as</w:t>
            </w:r>
            <w:r w:rsidRPr="004A4AF8">
              <w:t xml:space="preserve"> Nr. 2023/2831</w:t>
            </w:r>
            <w:r>
              <w:t xml:space="preserve"> 3. panta 2. punktā noteikts, ka </w:t>
            </w:r>
            <w:r w:rsidRPr="005447DA">
              <w:rPr>
                <w:i/>
                <w:iCs/>
              </w:rPr>
              <w:t>De minimis</w:t>
            </w:r>
            <w:r w:rsidRPr="005447DA">
              <w:t xml:space="preserve"> atbalsta kopsumma, ko viena dalībvalsts piešķīrusi </w:t>
            </w:r>
            <w:r w:rsidRPr="005447DA">
              <w:rPr>
                <w:u w:val="single"/>
              </w:rPr>
              <w:t>vienam vienotam uzņēmumam</w:t>
            </w:r>
            <w:r w:rsidRPr="005447DA">
              <w:t xml:space="preserve">, nevienā trīs gadu periodā </w:t>
            </w:r>
            <w:r w:rsidRPr="005447DA">
              <w:rPr>
                <w:b/>
                <w:bCs/>
              </w:rPr>
              <w:t xml:space="preserve">nepārsniedz 300 000 </w:t>
            </w:r>
            <w:r w:rsidRPr="005447DA">
              <w:rPr>
                <w:b/>
                <w:bCs/>
                <w:i/>
                <w:iCs/>
              </w:rPr>
              <w:t>euro</w:t>
            </w:r>
            <w:r>
              <w:t>.</w:t>
            </w:r>
          </w:p>
        </w:tc>
      </w:tr>
      <w:tr w:rsidR="004A1466" w:rsidRPr="00C21EAA" w14:paraId="16A3F939" w14:textId="77777777" w:rsidTr="00880642">
        <w:trPr>
          <w:cantSplit/>
        </w:trPr>
        <w:tc>
          <w:tcPr>
            <w:tcW w:w="644" w:type="dxa"/>
          </w:tcPr>
          <w:p w14:paraId="57BE8991" w14:textId="4D6C26A0" w:rsidR="004A1466" w:rsidRDefault="00B90E5F" w:rsidP="00F9772C">
            <w:pPr>
              <w:jc w:val="center"/>
            </w:pPr>
            <w:bookmarkStart w:id="9" w:name="_Hlk184034766"/>
            <w:bookmarkEnd w:id="7"/>
            <w:bookmarkEnd w:id="8"/>
            <w:r>
              <w:lastRenderedPageBreak/>
              <w:t>19.</w:t>
            </w:r>
          </w:p>
        </w:tc>
        <w:tc>
          <w:tcPr>
            <w:tcW w:w="6722" w:type="dxa"/>
          </w:tcPr>
          <w:p w14:paraId="43B05B17" w14:textId="6DB00877" w:rsidR="004A1466" w:rsidRPr="004A1466" w:rsidRDefault="00B90E5F" w:rsidP="00176CD7">
            <w:pPr>
              <w:autoSpaceDE w:val="0"/>
              <w:autoSpaceDN w:val="0"/>
              <w:jc w:val="both"/>
            </w:pPr>
            <w:r w:rsidRPr="00B90E5F">
              <w:t>MK noteikumu 89.</w:t>
            </w:r>
            <w:r>
              <w:t> </w:t>
            </w:r>
            <w:r w:rsidRPr="00B90E5F">
              <w:t xml:space="preserve">punktā minēts, ka </w:t>
            </w:r>
            <w:r>
              <w:t>“</w:t>
            </w:r>
            <w:r w:rsidRPr="00B90E5F">
              <w:rPr>
                <w:i/>
                <w:iCs/>
              </w:rPr>
              <w:t>Finansējuma saņēmējs nepieciešamos iepirkumus projekta ietvaros veic saskaņā ar iepirkumus reglamentējošajiem normatīvajiem aktiem, īstenojot atklātu, pārredzamu, nediskriminējošu un konkurenci nodrošinošu konkursa procedūru</w:t>
            </w:r>
            <w:r>
              <w:t>”</w:t>
            </w:r>
            <w:r w:rsidRPr="00B90E5F">
              <w:t xml:space="preserve">. Vai ir kādi normatīvie akti, kas paredz iepirkumu procedūru un prasības privātam uzņēmumam? Vai arī galvenā prasība, ka iepirkums ir atklāts? Un vai var tikt izmantota iepirkumu platforma </w:t>
            </w:r>
            <w:proofErr w:type="spellStart"/>
            <w:r w:rsidRPr="00B90E5F">
              <w:t>Mercell</w:t>
            </w:r>
            <w:proofErr w:type="spellEnd"/>
            <w:r w:rsidRPr="00B90E5F">
              <w:t>? Un vai teorētiski vispār ir nepieciešams veikt iepirkumu, ja iegādi veic privāts uzņēmums?</w:t>
            </w:r>
          </w:p>
        </w:tc>
        <w:tc>
          <w:tcPr>
            <w:tcW w:w="7194" w:type="dxa"/>
          </w:tcPr>
          <w:p w14:paraId="08D5CB3E" w14:textId="77777777" w:rsidR="004A1466" w:rsidRDefault="00B90E5F">
            <w:pPr>
              <w:autoSpaceDE w:val="0"/>
              <w:autoSpaceDN w:val="0"/>
              <w:jc w:val="both"/>
            </w:pPr>
            <w:r>
              <w:t xml:space="preserve">Komersantiem </w:t>
            </w:r>
            <w:r w:rsidRPr="00B90E5F">
              <w:rPr>
                <w:b/>
                <w:bCs/>
              </w:rPr>
              <w:t xml:space="preserve">ir jāievēro </w:t>
            </w:r>
            <w:r w:rsidRPr="00B90E5F">
              <w:rPr>
                <w:b/>
                <w:bCs/>
              </w:rPr>
              <w:t>Ministru kabineta noteikum</w:t>
            </w:r>
            <w:r>
              <w:rPr>
                <w:b/>
                <w:bCs/>
              </w:rPr>
              <w:t>os</w:t>
            </w:r>
            <w:r w:rsidRPr="00B90E5F">
              <w:rPr>
                <w:b/>
                <w:bCs/>
              </w:rPr>
              <w:t xml:space="preserve"> Nr. 104</w:t>
            </w:r>
            <w:r>
              <w:t xml:space="preserve"> “</w:t>
            </w:r>
            <w:hyperlink r:id="rId14" w:history="1">
              <w:r w:rsidRPr="00B90E5F">
                <w:rPr>
                  <w:rStyle w:val="Hyperlink"/>
                </w:rPr>
                <w:t>Noteikumi par iepirkuma procedūru un tās piemērošanas kārtību pasūtītāja finansētiem projektiem</w:t>
              </w:r>
            </w:hyperlink>
            <w:r>
              <w:t xml:space="preserve">” </w:t>
            </w:r>
            <w:r w:rsidRPr="00B90E5F">
              <w:rPr>
                <w:b/>
                <w:bCs/>
              </w:rPr>
              <w:t>noteiktās prasības</w:t>
            </w:r>
            <w:r>
              <w:t xml:space="preserve">, tai skaitā IV. nodaļā minētie nosacījumi, kas paredz </w:t>
            </w:r>
            <w:r w:rsidRPr="00B90E5F">
              <w:t xml:space="preserve"> public</w:t>
            </w:r>
            <w:r>
              <w:t>ēšanu</w:t>
            </w:r>
            <w:r w:rsidRPr="00B90E5F">
              <w:t xml:space="preserve"> Iepirkumu uzraudzības biroja tīmekļvietnē</w:t>
            </w:r>
            <w:r>
              <w:t xml:space="preserve">. </w:t>
            </w:r>
          </w:p>
          <w:p w14:paraId="7DE03673" w14:textId="77777777" w:rsidR="00B90E5F" w:rsidRDefault="00B90E5F">
            <w:pPr>
              <w:autoSpaceDE w:val="0"/>
              <w:autoSpaceDN w:val="0"/>
              <w:jc w:val="both"/>
              <w:rPr>
                <w:rFonts w:eastAsiaTheme="minorHAnsi"/>
                <w:szCs w:val="22"/>
              </w:rPr>
            </w:pPr>
            <w:r>
              <w:t xml:space="preserve">Vēršam uzmanību, ka </w:t>
            </w:r>
            <w:r w:rsidRPr="004A4AF8">
              <w:t>MK noteikum</w:t>
            </w:r>
            <w:r>
              <w:t>i</w:t>
            </w:r>
            <w:r w:rsidRPr="004A4AF8">
              <w:t xml:space="preserve"> Nr. 701</w:t>
            </w:r>
            <w:r>
              <w:t xml:space="preserve"> </w:t>
            </w:r>
            <w:r>
              <w:rPr>
                <w:rFonts w:eastAsiaTheme="minorHAnsi"/>
                <w:szCs w:val="22"/>
              </w:rPr>
              <w:t>18. punktā ir noteikt</w:t>
            </w:r>
            <w:r>
              <w:rPr>
                <w:rFonts w:eastAsiaTheme="minorHAnsi"/>
                <w:szCs w:val="22"/>
              </w:rPr>
              <w:t>s</w:t>
            </w:r>
            <w:r>
              <w:rPr>
                <w:rFonts w:eastAsiaTheme="minorHAnsi"/>
                <w:szCs w:val="22"/>
              </w:rPr>
              <w:t xml:space="preserve"> izmaksu attiecināmības periods, kas ir atkarīgs no finansējuma saņēmēja kategorijas</w:t>
            </w:r>
            <w:r>
              <w:rPr>
                <w:rFonts w:eastAsiaTheme="minorHAnsi"/>
                <w:szCs w:val="22"/>
              </w:rPr>
              <w:t>. Iepirkumu izsludināšana pirms izmaksu attiecināmības perioda</w:t>
            </w:r>
            <w:r w:rsidR="00EC6906">
              <w:rPr>
                <w:rFonts w:eastAsiaTheme="minorHAnsi"/>
                <w:szCs w:val="22"/>
              </w:rPr>
              <w:t xml:space="preserve"> nav pieļaujama, izņemot, ja iepirkuma dokumentācijā ir atruna, ka pasūtītājam ir tiesības jebkurā brīdī pārtraukt iepirkumu un neslēgt līgumu.</w:t>
            </w:r>
          </w:p>
          <w:p w14:paraId="5FA34BE8" w14:textId="1E4FCF1A" w:rsidR="00EC6906" w:rsidRPr="00C21EAA" w:rsidRDefault="00EC6906">
            <w:pPr>
              <w:autoSpaceDE w:val="0"/>
              <w:autoSpaceDN w:val="0"/>
              <w:jc w:val="both"/>
            </w:pPr>
            <w:r>
              <w:rPr>
                <w:rFonts w:eastAsiaTheme="minorHAnsi"/>
                <w:szCs w:val="22"/>
              </w:rPr>
              <w:t>Sagatavojot Projekta iesniegum</w:t>
            </w:r>
            <w:r w:rsidR="00D15050">
              <w:rPr>
                <w:rFonts w:eastAsiaTheme="minorHAnsi"/>
                <w:szCs w:val="22"/>
              </w:rPr>
              <w:t>u</w:t>
            </w:r>
            <w:r>
              <w:rPr>
                <w:rFonts w:eastAsiaTheme="minorHAnsi"/>
                <w:szCs w:val="22"/>
              </w:rPr>
              <w:t>, ja nav veikts iepirkums, tad jānorāda vispārīgi tehniskie parametri vai piezīme “</w:t>
            </w:r>
            <w:r w:rsidRPr="00EC6906">
              <w:rPr>
                <w:rFonts w:eastAsiaTheme="minorHAnsi"/>
                <w:i/>
                <w:iCs/>
                <w:szCs w:val="22"/>
              </w:rPr>
              <w:t>vai līdzvērtīgs</w:t>
            </w:r>
            <w:r>
              <w:rPr>
                <w:rFonts w:eastAsiaTheme="minorHAnsi"/>
                <w:szCs w:val="22"/>
              </w:rPr>
              <w:t xml:space="preserve">”. </w:t>
            </w:r>
            <w:r w:rsidRPr="00EC6906">
              <w:rPr>
                <w:rFonts w:eastAsiaTheme="minorHAnsi"/>
                <w:b/>
                <w:bCs/>
                <w:szCs w:val="22"/>
              </w:rPr>
              <w:t>Nav pieļaujama mākslīga konkurences ierobežošana, sagatavojot iepirkuma dokumentāciju tikai vienam pretendentam.</w:t>
            </w:r>
          </w:p>
        </w:tc>
      </w:tr>
      <w:bookmarkEnd w:id="6"/>
      <w:bookmarkEnd w:id="9"/>
    </w:tbl>
    <w:p w14:paraId="008D6F2C" w14:textId="12F93095" w:rsidR="004D44E0" w:rsidRPr="00C21EAA" w:rsidRDefault="004D44E0"/>
    <w:sectPr w:rsidR="004D44E0" w:rsidRPr="00C21EAA" w:rsidSect="00AB59BD">
      <w:head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38C1F" w14:textId="77777777" w:rsidR="009E7152" w:rsidRDefault="009E7152" w:rsidP="00AB59BD">
      <w:r>
        <w:separator/>
      </w:r>
    </w:p>
  </w:endnote>
  <w:endnote w:type="continuationSeparator" w:id="0">
    <w:p w14:paraId="5BF4D076" w14:textId="77777777" w:rsidR="009E7152" w:rsidRDefault="009E7152" w:rsidP="00AB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31BD3" w14:textId="77777777" w:rsidR="009E7152" w:rsidRDefault="009E7152" w:rsidP="00AB59BD">
      <w:r>
        <w:separator/>
      </w:r>
    </w:p>
  </w:footnote>
  <w:footnote w:type="continuationSeparator" w:id="0">
    <w:p w14:paraId="31852A6B" w14:textId="77777777" w:rsidR="009E7152" w:rsidRDefault="009E7152" w:rsidP="00AB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7972" w14:textId="77777777" w:rsidR="00AB59BD" w:rsidRDefault="00AB59BD" w:rsidP="00AB59BD">
    <w:pPr>
      <w:jc w:val="right"/>
      <w:rPr>
        <w:noProof/>
        <w:lang w:eastAsia="lv-LV"/>
      </w:rPr>
    </w:pPr>
  </w:p>
  <w:p w14:paraId="1E1AB80C" w14:textId="77777777" w:rsidR="00AB49B6" w:rsidRDefault="00AB49B6" w:rsidP="00AB59B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6E2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DC2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8439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5E5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C6C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C4E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0D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BAA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DC4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E6C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2C59"/>
    <w:multiLevelType w:val="hybridMultilevel"/>
    <w:tmpl w:val="31ACF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D6696A"/>
    <w:multiLevelType w:val="hybridMultilevel"/>
    <w:tmpl w:val="B97EB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AB2295"/>
    <w:multiLevelType w:val="hybridMultilevel"/>
    <w:tmpl w:val="CCFEC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E52DC5"/>
    <w:multiLevelType w:val="hybridMultilevel"/>
    <w:tmpl w:val="18221C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EA35BB0"/>
    <w:multiLevelType w:val="hybridMultilevel"/>
    <w:tmpl w:val="962C8A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8924E4"/>
    <w:multiLevelType w:val="hybridMultilevel"/>
    <w:tmpl w:val="DD56C4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BA203A"/>
    <w:multiLevelType w:val="hybridMultilevel"/>
    <w:tmpl w:val="B98E01D6"/>
    <w:lvl w:ilvl="0" w:tplc="4E7652E6">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num w:numId="1" w16cid:durableId="983195076">
    <w:abstractNumId w:val="14"/>
  </w:num>
  <w:num w:numId="2" w16cid:durableId="1850867738">
    <w:abstractNumId w:val="11"/>
  </w:num>
  <w:num w:numId="3" w16cid:durableId="406419750">
    <w:abstractNumId w:val="10"/>
  </w:num>
  <w:num w:numId="4" w16cid:durableId="90395416">
    <w:abstractNumId w:val="16"/>
  </w:num>
  <w:num w:numId="5" w16cid:durableId="1121269460">
    <w:abstractNumId w:val="9"/>
  </w:num>
  <w:num w:numId="6" w16cid:durableId="1076050938">
    <w:abstractNumId w:val="7"/>
  </w:num>
  <w:num w:numId="7" w16cid:durableId="963078294">
    <w:abstractNumId w:val="6"/>
  </w:num>
  <w:num w:numId="8" w16cid:durableId="1871644515">
    <w:abstractNumId w:val="5"/>
  </w:num>
  <w:num w:numId="9" w16cid:durableId="2113283633">
    <w:abstractNumId w:val="4"/>
  </w:num>
  <w:num w:numId="10" w16cid:durableId="537085550">
    <w:abstractNumId w:val="8"/>
  </w:num>
  <w:num w:numId="11" w16cid:durableId="280260606">
    <w:abstractNumId w:val="3"/>
  </w:num>
  <w:num w:numId="12" w16cid:durableId="340399313">
    <w:abstractNumId w:val="2"/>
  </w:num>
  <w:num w:numId="13" w16cid:durableId="1548178604">
    <w:abstractNumId w:val="1"/>
  </w:num>
  <w:num w:numId="14" w16cid:durableId="1814252339">
    <w:abstractNumId w:val="0"/>
  </w:num>
  <w:num w:numId="15" w16cid:durableId="89814967">
    <w:abstractNumId w:val="15"/>
  </w:num>
  <w:num w:numId="16" w16cid:durableId="1089227989">
    <w:abstractNumId w:val="12"/>
  </w:num>
  <w:num w:numId="17" w16cid:durableId="1116487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BD"/>
    <w:rsid w:val="000001FA"/>
    <w:rsid w:val="0000041C"/>
    <w:rsid w:val="000006DB"/>
    <w:rsid w:val="00000B49"/>
    <w:rsid w:val="00004CB1"/>
    <w:rsid w:val="00010CEE"/>
    <w:rsid w:val="00012D81"/>
    <w:rsid w:val="00013D2E"/>
    <w:rsid w:val="00021275"/>
    <w:rsid w:val="000213DF"/>
    <w:rsid w:val="00022CA7"/>
    <w:rsid w:val="0002574E"/>
    <w:rsid w:val="000278AE"/>
    <w:rsid w:val="00053793"/>
    <w:rsid w:val="00055239"/>
    <w:rsid w:val="000575C6"/>
    <w:rsid w:val="000606BD"/>
    <w:rsid w:val="00062C79"/>
    <w:rsid w:val="00064F10"/>
    <w:rsid w:val="000672E7"/>
    <w:rsid w:val="0009237A"/>
    <w:rsid w:val="000940FC"/>
    <w:rsid w:val="00095752"/>
    <w:rsid w:val="000A12ED"/>
    <w:rsid w:val="000A1F47"/>
    <w:rsid w:val="000A3CC4"/>
    <w:rsid w:val="000B37DE"/>
    <w:rsid w:val="000B37F4"/>
    <w:rsid w:val="000C4154"/>
    <w:rsid w:val="000C70C5"/>
    <w:rsid w:val="000C748F"/>
    <w:rsid w:val="000D1EB7"/>
    <w:rsid w:val="000D3FA6"/>
    <w:rsid w:val="000E06CE"/>
    <w:rsid w:val="000E0874"/>
    <w:rsid w:val="000E10F7"/>
    <w:rsid w:val="000E469F"/>
    <w:rsid w:val="001018AB"/>
    <w:rsid w:val="0010312A"/>
    <w:rsid w:val="00112B63"/>
    <w:rsid w:val="00116D88"/>
    <w:rsid w:val="00121222"/>
    <w:rsid w:val="00122909"/>
    <w:rsid w:val="0012437F"/>
    <w:rsid w:val="0013291A"/>
    <w:rsid w:val="00134554"/>
    <w:rsid w:val="00137E0C"/>
    <w:rsid w:val="001559CB"/>
    <w:rsid w:val="001663B8"/>
    <w:rsid w:val="00172029"/>
    <w:rsid w:val="001721F5"/>
    <w:rsid w:val="00176CD7"/>
    <w:rsid w:val="00180F42"/>
    <w:rsid w:val="00182B56"/>
    <w:rsid w:val="00183B55"/>
    <w:rsid w:val="00187717"/>
    <w:rsid w:val="001A3142"/>
    <w:rsid w:val="001B1DDA"/>
    <w:rsid w:val="001B1F59"/>
    <w:rsid w:val="001B3C5D"/>
    <w:rsid w:val="001C7DA3"/>
    <w:rsid w:val="001D1942"/>
    <w:rsid w:val="001E4ACC"/>
    <w:rsid w:val="0020240C"/>
    <w:rsid w:val="0020383B"/>
    <w:rsid w:val="00204152"/>
    <w:rsid w:val="00205E34"/>
    <w:rsid w:val="002147FB"/>
    <w:rsid w:val="00215868"/>
    <w:rsid w:val="002215AE"/>
    <w:rsid w:val="00221BE5"/>
    <w:rsid w:val="00222052"/>
    <w:rsid w:val="002317A1"/>
    <w:rsid w:val="00231E53"/>
    <w:rsid w:val="0023733A"/>
    <w:rsid w:val="00241FCA"/>
    <w:rsid w:val="00242236"/>
    <w:rsid w:val="00242496"/>
    <w:rsid w:val="00244C3B"/>
    <w:rsid w:val="0026198C"/>
    <w:rsid w:val="00262167"/>
    <w:rsid w:val="0026413C"/>
    <w:rsid w:val="00266A78"/>
    <w:rsid w:val="00270184"/>
    <w:rsid w:val="00270AB4"/>
    <w:rsid w:val="0028039C"/>
    <w:rsid w:val="00280EE3"/>
    <w:rsid w:val="0029147B"/>
    <w:rsid w:val="00295F16"/>
    <w:rsid w:val="002A1EC1"/>
    <w:rsid w:val="002A64AD"/>
    <w:rsid w:val="002B05F0"/>
    <w:rsid w:val="002B41E2"/>
    <w:rsid w:val="002C1368"/>
    <w:rsid w:val="002D0082"/>
    <w:rsid w:val="002D27D0"/>
    <w:rsid w:val="002F22F4"/>
    <w:rsid w:val="002F2C0F"/>
    <w:rsid w:val="002F476E"/>
    <w:rsid w:val="002F7F10"/>
    <w:rsid w:val="00301303"/>
    <w:rsid w:val="003019E6"/>
    <w:rsid w:val="00315341"/>
    <w:rsid w:val="00315BEA"/>
    <w:rsid w:val="0032007A"/>
    <w:rsid w:val="0032061A"/>
    <w:rsid w:val="00333818"/>
    <w:rsid w:val="003348C5"/>
    <w:rsid w:val="003443E4"/>
    <w:rsid w:val="003446BE"/>
    <w:rsid w:val="00351010"/>
    <w:rsid w:val="003527BD"/>
    <w:rsid w:val="00355B51"/>
    <w:rsid w:val="00363A9B"/>
    <w:rsid w:val="00372CBA"/>
    <w:rsid w:val="003814F7"/>
    <w:rsid w:val="003874A7"/>
    <w:rsid w:val="00387C70"/>
    <w:rsid w:val="0039104F"/>
    <w:rsid w:val="003A040A"/>
    <w:rsid w:val="003A4721"/>
    <w:rsid w:val="003B54F6"/>
    <w:rsid w:val="003B5882"/>
    <w:rsid w:val="003B65A2"/>
    <w:rsid w:val="003C5E98"/>
    <w:rsid w:val="003C7491"/>
    <w:rsid w:val="003D1BC9"/>
    <w:rsid w:val="003D61A4"/>
    <w:rsid w:val="003D6BD0"/>
    <w:rsid w:val="003E1BD2"/>
    <w:rsid w:val="003E76EC"/>
    <w:rsid w:val="003E7F40"/>
    <w:rsid w:val="003F2F54"/>
    <w:rsid w:val="003F7CB5"/>
    <w:rsid w:val="004012C8"/>
    <w:rsid w:val="00405AAA"/>
    <w:rsid w:val="00406B61"/>
    <w:rsid w:val="004136FE"/>
    <w:rsid w:val="00421627"/>
    <w:rsid w:val="00422722"/>
    <w:rsid w:val="00422760"/>
    <w:rsid w:val="00436988"/>
    <w:rsid w:val="00441A99"/>
    <w:rsid w:val="00446EFA"/>
    <w:rsid w:val="00446F07"/>
    <w:rsid w:val="0046543D"/>
    <w:rsid w:val="00466BCD"/>
    <w:rsid w:val="00480427"/>
    <w:rsid w:val="00485ABC"/>
    <w:rsid w:val="00487574"/>
    <w:rsid w:val="004926FB"/>
    <w:rsid w:val="00493C28"/>
    <w:rsid w:val="004A1466"/>
    <w:rsid w:val="004A3B5B"/>
    <w:rsid w:val="004A4AF8"/>
    <w:rsid w:val="004B2363"/>
    <w:rsid w:val="004B3EBC"/>
    <w:rsid w:val="004B463A"/>
    <w:rsid w:val="004B4E18"/>
    <w:rsid w:val="004B63A4"/>
    <w:rsid w:val="004C2819"/>
    <w:rsid w:val="004C2FF4"/>
    <w:rsid w:val="004C4915"/>
    <w:rsid w:val="004D0D3C"/>
    <w:rsid w:val="004D4025"/>
    <w:rsid w:val="004D44E0"/>
    <w:rsid w:val="004D6EBD"/>
    <w:rsid w:val="004F1C5F"/>
    <w:rsid w:val="00500CBF"/>
    <w:rsid w:val="00501BFE"/>
    <w:rsid w:val="00501E88"/>
    <w:rsid w:val="00502074"/>
    <w:rsid w:val="005113AA"/>
    <w:rsid w:val="005153AE"/>
    <w:rsid w:val="005240D2"/>
    <w:rsid w:val="005243D8"/>
    <w:rsid w:val="00527CAE"/>
    <w:rsid w:val="005365ED"/>
    <w:rsid w:val="005447DA"/>
    <w:rsid w:val="00545726"/>
    <w:rsid w:val="005500C3"/>
    <w:rsid w:val="00564BE4"/>
    <w:rsid w:val="005653FB"/>
    <w:rsid w:val="005658ED"/>
    <w:rsid w:val="005828B4"/>
    <w:rsid w:val="005848FE"/>
    <w:rsid w:val="0058692E"/>
    <w:rsid w:val="00590347"/>
    <w:rsid w:val="00590874"/>
    <w:rsid w:val="00593D4D"/>
    <w:rsid w:val="005A22DC"/>
    <w:rsid w:val="005A5130"/>
    <w:rsid w:val="005A580F"/>
    <w:rsid w:val="005B00CA"/>
    <w:rsid w:val="005B7FB4"/>
    <w:rsid w:val="005D7442"/>
    <w:rsid w:val="005E336F"/>
    <w:rsid w:val="005F0F45"/>
    <w:rsid w:val="006024EE"/>
    <w:rsid w:val="0060319A"/>
    <w:rsid w:val="006037CA"/>
    <w:rsid w:val="00612122"/>
    <w:rsid w:val="00616F0E"/>
    <w:rsid w:val="00622EC4"/>
    <w:rsid w:val="006324A6"/>
    <w:rsid w:val="006447A1"/>
    <w:rsid w:val="00645F8D"/>
    <w:rsid w:val="006461A6"/>
    <w:rsid w:val="0064734A"/>
    <w:rsid w:val="006512FE"/>
    <w:rsid w:val="00660DF4"/>
    <w:rsid w:val="0067173B"/>
    <w:rsid w:val="006757D8"/>
    <w:rsid w:val="00676697"/>
    <w:rsid w:val="00682EB2"/>
    <w:rsid w:val="006866A7"/>
    <w:rsid w:val="006934D8"/>
    <w:rsid w:val="006A2C2B"/>
    <w:rsid w:val="006A350A"/>
    <w:rsid w:val="006A5BFD"/>
    <w:rsid w:val="006B4275"/>
    <w:rsid w:val="006C5AA1"/>
    <w:rsid w:val="006D762F"/>
    <w:rsid w:val="006D79BD"/>
    <w:rsid w:val="006E1E6C"/>
    <w:rsid w:val="006F2CCF"/>
    <w:rsid w:val="007124B7"/>
    <w:rsid w:val="00713DB1"/>
    <w:rsid w:val="007152E1"/>
    <w:rsid w:val="00720D10"/>
    <w:rsid w:val="00721B5A"/>
    <w:rsid w:val="0072481D"/>
    <w:rsid w:val="0073139A"/>
    <w:rsid w:val="0073149C"/>
    <w:rsid w:val="007343D9"/>
    <w:rsid w:val="00737CB3"/>
    <w:rsid w:val="007413B1"/>
    <w:rsid w:val="007536E7"/>
    <w:rsid w:val="007551A7"/>
    <w:rsid w:val="007563C9"/>
    <w:rsid w:val="00756D67"/>
    <w:rsid w:val="0076707D"/>
    <w:rsid w:val="00775B7A"/>
    <w:rsid w:val="00794AE3"/>
    <w:rsid w:val="007A4731"/>
    <w:rsid w:val="007A5268"/>
    <w:rsid w:val="007B520A"/>
    <w:rsid w:val="007B5256"/>
    <w:rsid w:val="007B6E8E"/>
    <w:rsid w:val="007C03A4"/>
    <w:rsid w:val="007C1B44"/>
    <w:rsid w:val="007C1C37"/>
    <w:rsid w:val="007C7965"/>
    <w:rsid w:val="007D1FFA"/>
    <w:rsid w:val="007E3F1C"/>
    <w:rsid w:val="007F48F7"/>
    <w:rsid w:val="007F4F72"/>
    <w:rsid w:val="007F659B"/>
    <w:rsid w:val="00803567"/>
    <w:rsid w:val="00805306"/>
    <w:rsid w:val="00805963"/>
    <w:rsid w:val="008059B8"/>
    <w:rsid w:val="00834055"/>
    <w:rsid w:val="0083486A"/>
    <w:rsid w:val="00841582"/>
    <w:rsid w:val="00844A89"/>
    <w:rsid w:val="00847A9E"/>
    <w:rsid w:val="008503A2"/>
    <w:rsid w:val="00853455"/>
    <w:rsid w:val="008546A8"/>
    <w:rsid w:val="00865E6B"/>
    <w:rsid w:val="00865F2C"/>
    <w:rsid w:val="008732E0"/>
    <w:rsid w:val="00880642"/>
    <w:rsid w:val="008854F0"/>
    <w:rsid w:val="00890951"/>
    <w:rsid w:val="008A0DAD"/>
    <w:rsid w:val="008B187A"/>
    <w:rsid w:val="008C1D04"/>
    <w:rsid w:val="008C573E"/>
    <w:rsid w:val="008E038E"/>
    <w:rsid w:val="008E0C26"/>
    <w:rsid w:val="008E1D12"/>
    <w:rsid w:val="008F5942"/>
    <w:rsid w:val="008F7A19"/>
    <w:rsid w:val="009079C4"/>
    <w:rsid w:val="00910149"/>
    <w:rsid w:val="00910456"/>
    <w:rsid w:val="00910B77"/>
    <w:rsid w:val="0091551B"/>
    <w:rsid w:val="009178B9"/>
    <w:rsid w:val="00917EF9"/>
    <w:rsid w:val="00922DF7"/>
    <w:rsid w:val="009235C6"/>
    <w:rsid w:val="009336CB"/>
    <w:rsid w:val="00934EBA"/>
    <w:rsid w:val="00944004"/>
    <w:rsid w:val="009505E5"/>
    <w:rsid w:val="009508FC"/>
    <w:rsid w:val="00950B5C"/>
    <w:rsid w:val="00952C3D"/>
    <w:rsid w:val="009743EE"/>
    <w:rsid w:val="009747C2"/>
    <w:rsid w:val="00985E4B"/>
    <w:rsid w:val="009961B9"/>
    <w:rsid w:val="009B31A5"/>
    <w:rsid w:val="009B68EE"/>
    <w:rsid w:val="009C4C64"/>
    <w:rsid w:val="009C6F5D"/>
    <w:rsid w:val="009C7996"/>
    <w:rsid w:val="009D38BB"/>
    <w:rsid w:val="009D5759"/>
    <w:rsid w:val="009E5BCC"/>
    <w:rsid w:val="009E61BD"/>
    <w:rsid w:val="009E7152"/>
    <w:rsid w:val="00A011C0"/>
    <w:rsid w:val="00A01E84"/>
    <w:rsid w:val="00A11D80"/>
    <w:rsid w:val="00A126AE"/>
    <w:rsid w:val="00A16AF2"/>
    <w:rsid w:val="00A26A07"/>
    <w:rsid w:val="00A34390"/>
    <w:rsid w:val="00A36FEF"/>
    <w:rsid w:val="00A37C54"/>
    <w:rsid w:val="00A40EF6"/>
    <w:rsid w:val="00A4263A"/>
    <w:rsid w:val="00A55064"/>
    <w:rsid w:val="00A565CF"/>
    <w:rsid w:val="00A614B1"/>
    <w:rsid w:val="00A64F1C"/>
    <w:rsid w:val="00A67AFA"/>
    <w:rsid w:val="00A71B1A"/>
    <w:rsid w:val="00A72893"/>
    <w:rsid w:val="00A81D9C"/>
    <w:rsid w:val="00A82E92"/>
    <w:rsid w:val="00A84BA5"/>
    <w:rsid w:val="00A926FF"/>
    <w:rsid w:val="00AB399F"/>
    <w:rsid w:val="00AB49B6"/>
    <w:rsid w:val="00AB59BD"/>
    <w:rsid w:val="00AB6143"/>
    <w:rsid w:val="00AC0409"/>
    <w:rsid w:val="00AC1556"/>
    <w:rsid w:val="00AC2B7B"/>
    <w:rsid w:val="00AC5A27"/>
    <w:rsid w:val="00AC5DEA"/>
    <w:rsid w:val="00AC760F"/>
    <w:rsid w:val="00AD4080"/>
    <w:rsid w:val="00AD4566"/>
    <w:rsid w:val="00AD4FFE"/>
    <w:rsid w:val="00AD53A3"/>
    <w:rsid w:val="00AD7DFB"/>
    <w:rsid w:val="00AF3075"/>
    <w:rsid w:val="00AF4660"/>
    <w:rsid w:val="00B00AD4"/>
    <w:rsid w:val="00B0453F"/>
    <w:rsid w:val="00B04710"/>
    <w:rsid w:val="00B07783"/>
    <w:rsid w:val="00B13B59"/>
    <w:rsid w:val="00B21073"/>
    <w:rsid w:val="00B21B83"/>
    <w:rsid w:val="00B25BA7"/>
    <w:rsid w:val="00B25F4A"/>
    <w:rsid w:val="00B26EE2"/>
    <w:rsid w:val="00B343E1"/>
    <w:rsid w:val="00B41ED9"/>
    <w:rsid w:val="00B4338C"/>
    <w:rsid w:val="00B4744D"/>
    <w:rsid w:val="00B47ADE"/>
    <w:rsid w:val="00B47EFA"/>
    <w:rsid w:val="00B51274"/>
    <w:rsid w:val="00B54B69"/>
    <w:rsid w:val="00B56ADE"/>
    <w:rsid w:val="00B67C12"/>
    <w:rsid w:val="00B70E24"/>
    <w:rsid w:val="00B74801"/>
    <w:rsid w:val="00B83022"/>
    <w:rsid w:val="00B90E5F"/>
    <w:rsid w:val="00BA2C7A"/>
    <w:rsid w:val="00BA71A3"/>
    <w:rsid w:val="00BB29BD"/>
    <w:rsid w:val="00BC21D9"/>
    <w:rsid w:val="00BC708B"/>
    <w:rsid w:val="00BC7374"/>
    <w:rsid w:val="00BC7589"/>
    <w:rsid w:val="00BC7FC8"/>
    <w:rsid w:val="00BD5FE3"/>
    <w:rsid w:val="00BD6116"/>
    <w:rsid w:val="00BD6ACC"/>
    <w:rsid w:val="00BD7784"/>
    <w:rsid w:val="00BE5948"/>
    <w:rsid w:val="00BE75CA"/>
    <w:rsid w:val="00BF1E2C"/>
    <w:rsid w:val="00BF23AC"/>
    <w:rsid w:val="00BF53CF"/>
    <w:rsid w:val="00C11F99"/>
    <w:rsid w:val="00C15DDB"/>
    <w:rsid w:val="00C20964"/>
    <w:rsid w:val="00C21EAA"/>
    <w:rsid w:val="00C23A23"/>
    <w:rsid w:val="00C42721"/>
    <w:rsid w:val="00C55BA8"/>
    <w:rsid w:val="00C57B81"/>
    <w:rsid w:val="00C62017"/>
    <w:rsid w:val="00C7098C"/>
    <w:rsid w:val="00C7222A"/>
    <w:rsid w:val="00C8033A"/>
    <w:rsid w:val="00C8661C"/>
    <w:rsid w:val="00C87057"/>
    <w:rsid w:val="00C96432"/>
    <w:rsid w:val="00C975BD"/>
    <w:rsid w:val="00CB2DB0"/>
    <w:rsid w:val="00CB5304"/>
    <w:rsid w:val="00CC6494"/>
    <w:rsid w:val="00CD1A58"/>
    <w:rsid w:val="00CD4DC1"/>
    <w:rsid w:val="00CE5B09"/>
    <w:rsid w:val="00CF280C"/>
    <w:rsid w:val="00CF4333"/>
    <w:rsid w:val="00D0650B"/>
    <w:rsid w:val="00D11DC0"/>
    <w:rsid w:val="00D1264F"/>
    <w:rsid w:val="00D15050"/>
    <w:rsid w:val="00D34F7B"/>
    <w:rsid w:val="00D370B9"/>
    <w:rsid w:val="00D427A6"/>
    <w:rsid w:val="00D44B7E"/>
    <w:rsid w:val="00D44E1B"/>
    <w:rsid w:val="00D606D7"/>
    <w:rsid w:val="00D71202"/>
    <w:rsid w:val="00D727CE"/>
    <w:rsid w:val="00D76F6E"/>
    <w:rsid w:val="00D7791E"/>
    <w:rsid w:val="00D80FC5"/>
    <w:rsid w:val="00D87AAB"/>
    <w:rsid w:val="00D91EE4"/>
    <w:rsid w:val="00D9372C"/>
    <w:rsid w:val="00D945C9"/>
    <w:rsid w:val="00D96656"/>
    <w:rsid w:val="00DA014B"/>
    <w:rsid w:val="00DA18AA"/>
    <w:rsid w:val="00DA2AA5"/>
    <w:rsid w:val="00DB1FF4"/>
    <w:rsid w:val="00DB27A6"/>
    <w:rsid w:val="00DB54FF"/>
    <w:rsid w:val="00DD0F3D"/>
    <w:rsid w:val="00DD1979"/>
    <w:rsid w:val="00DD319C"/>
    <w:rsid w:val="00DD3A2F"/>
    <w:rsid w:val="00DE1188"/>
    <w:rsid w:val="00DE1DC1"/>
    <w:rsid w:val="00DF7547"/>
    <w:rsid w:val="00E224F6"/>
    <w:rsid w:val="00E300CA"/>
    <w:rsid w:val="00E50339"/>
    <w:rsid w:val="00E5235C"/>
    <w:rsid w:val="00E5306C"/>
    <w:rsid w:val="00E557A1"/>
    <w:rsid w:val="00E61AF3"/>
    <w:rsid w:val="00E6339F"/>
    <w:rsid w:val="00E63655"/>
    <w:rsid w:val="00E63D45"/>
    <w:rsid w:val="00E65B06"/>
    <w:rsid w:val="00E70400"/>
    <w:rsid w:val="00E83F47"/>
    <w:rsid w:val="00E84DA3"/>
    <w:rsid w:val="00E85F5C"/>
    <w:rsid w:val="00E86E32"/>
    <w:rsid w:val="00EA1EC0"/>
    <w:rsid w:val="00EB39E2"/>
    <w:rsid w:val="00EB656E"/>
    <w:rsid w:val="00EC092F"/>
    <w:rsid w:val="00EC403C"/>
    <w:rsid w:val="00EC6906"/>
    <w:rsid w:val="00EC7E6F"/>
    <w:rsid w:val="00ED2C36"/>
    <w:rsid w:val="00EE48E7"/>
    <w:rsid w:val="00EE6CD5"/>
    <w:rsid w:val="00F07C6E"/>
    <w:rsid w:val="00F12CC6"/>
    <w:rsid w:val="00F136E5"/>
    <w:rsid w:val="00F21ECA"/>
    <w:rsid w:val="00F32EA2"/>
    <w:rsid w:val="00F37C41"/>
    <w:rsid w:val="00F47158"/>
    <w:rsid w:val="00F47AD1"/>
    <w:rsid w:val="00F50428"/>
    <w:rsid w:val="00F51D5D"/>
    <w:rsid w:val="00F5344F"/>
    <w:rsid w:val="00F6138F"/>
    <w:rsid w:val="00F66883"/>
    <w:rsid w:val="00F66FDE"/>
    <w:rsid w:val="00F6704B"/>
    <w:rsid w:val="00F67D76"/>
    <w:rsid w:val="00F83C0D"/>
    <w:rsid w:val="00F90C08"/>
    <w:rsid w:val="00F9656B"/>
    <w:rsid w:val="00F9772C"/>
    <w:rsid w:val="00FA0DA7"/>
    <w:rsid w:val="00FA457A"/>
    <w:rsid w:val="00FB2654"/>
    <w:rsid w:val="00FC0931"/>
    <w:rsid w:val="00FD417B"/>
    <w:rsid w:val="00FE1D64"/>
    <w:rsid w:val="00FF1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8A10"/>
  <w15:docId w15:val="{2FF50008-7654-4C2D-B670-38B5DA6E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36"/>
  </w:style>
  <w:style w:type="paragraph" w:styleId="Heading1">
    <w:name w:val="heading 1"/>
    <w:basedOn w:val="Normal"/>
    <w:next w:val="Normal"/>
    <w:link w:val="Heading1Char"/>
    <w:uiPriority w:val="9"/>
    <w:qFormat/>
    <w:rsid w:val="005243D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7B81"/>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44E0"/>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43D8"/>
    <w:rPr>
      <w:rFonts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AB59BD"/>
    <w:rPr>
      <w:color w:val="0000FF" w:themeColor="hyperlink"/>
      <w:u w:val="single"/>
    </w:rPr>
  </w:style>
  <w:style w:type="character" w:styleId="FollowedHyperlink">
    <w:name w:val="FollowedHyperlink"/>
    <w:basedOn w:val="DefaultParagraphFont"/>
    <w:uiPriority w:val="99"/>
    <w:semiHidden/>
    <w:unhideWhenUsed/>
    <w:rsid w:val="0028039C"/>
    <w:rPr>
      <w:color w:val="800080" w:themeColor="followedHyperlink"/>
      <w:u w:val="single"/>
    </w:rPr>
  </w:style>
  <w:style w:type="character" w:styleId="CommentReference">
    <w:name w:val="annotation reference"/>
    <w:basedOn w:val="DefaultParagraphFont"/>
    <w:uiPriority w:val="99"/>
    <w:semiHidden/>
    <w:unhideWhenUsed/>
    <w:rsid w:val="00241FCA"/>
    <w:rPr>
      <w:sz w:val="16"/>
      <w:szCs w:val="16"/>
    </w:rPr>
  </w:style>
  <w:style w:type="paragraph" w:styleId="CommentText">
    <w:name w:val="annotation text"/>
    <w:basedOn w:val="Normal"/>
    <w:link w:val="CommentTextChar"/>
    <w:uiPriority w:val="99"/>
    <w:semiHidden/>
    <w:unhideWhenUsed/>
    <w:rsid w:val="00241FCA"/>
    <w:rPr>
      <w:sz w:val="20"/>
      <w:szCs w:val="20"/>
    </w:rPr>
  </w:style>
  <w:style w:type="character" w:customStyle="1" w:styleId="CommentTextChar">
    <w:name w:val="Comment Text Char"/>
    <w:basedOn w:val="DefaultParagraphFont"/>
    <w:link w:val="CommentText"/>
    <w:uiPriority w:val="99"/>
    <w:semiHidden/>
    <w:rsid w:val="00241FC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41FCA"/>
    <w:rPr>
      <w:b/>
      <w:bCs/>
    </w:rPr>
  </w:style>
  <w:style w:type="character" w:customStyle="1" w:styleId="CommentSubjectChar">
    <w:name w:val="Comment Subject Char"/>
    <w:basedOn w:val="CommentTextChar"/>
    <w:link w:val="CommentSubject"/>
    <w:uiPriority w:val="99"/>
    <w:semiHidden/>
    <w:rsid w:val="00241FCA"/>
    <w:rPr>
      <w:rFonts w:eastAsia="Times New Roman"/>
      <w:b/>
      <w:bCs/>
      <w:sz w:val="20"/>
      <w:szCs w:val="20"/>
    </w:rPr>
  </w:style>
  <w:style w:type="character" w:customStyle="1" w:styleId="Heading2Char">
    <w:name w:val="Heading 2 Char"/>
    <w:basedOn w:val="DefaultParagraphFont"/>
    <w:link w:val="Heading2"/>
    <w:uiPriority w:val="9"/>
    <w:semiHidden/>
    <w:rsid w:val="00C57B81"/>
    <w:rPr>
      <w:rFonts w:eastAsiaTheme="majorEastAsia" w:cstheme="majorBidi"/>
      <w:b/>
      <w:bCs/>
      <w:color w:val="4F81BD" w:themeColor="accent1"/>
      <w:sz w:val="26"/>
      <w:szCs w:val="26"/>
    </w:rPr>
  </w:style>
  <w:style w:type="paragraph" w:styleId="Revision">
    <w:name w:val="Revision"/>
    <w:hidden/>
    <w:uiPriority w:val="99"/>
    <w:semiHidden/>
    <w:rsid w:val="00D1264F"/>
    <w:rPr>
      <w:rFonts w:eastAsia="Times New Roman"/>
    </w:rPr>
  </w:style>
  <w:style w:type="paragraph" w:styleId="BalloonText">
    <w:name w:val="Balloon Text"/>
    <w:basedOn w:val="Normal"/>
    <w:link w:val="BalloonTextChar"/>
    <w:uiPriority w:val="99"/>
    <w:semiHidden/>
    <w:unhideWhenUsed/>
    <w:rsid w:val="00AC0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409"/>
    <w:rPr>
      <w:rFonts w:ascii="Segoe UI" w:hAnsi="Segoe UI" w:cs="Segoe UI"/>
      <w:sz w:val="18"/>
      <w:szCs w:val="18"/>
    </w:rPr>
  </w:style>
  <w:style w:type="character" w:styleId="UnresolvedMention">
    <w:name w:val="Unresolved Mention"/>
    <w:basedOn w:val="DefaultParagraphFont"/>
    <w:uiPriority w:val="99"/>
    <w:semiHidden/>
    <w:unhideWhenUsed/>
    <w:rsid w:val="00E557A1"/>
    <w:rPr>
      <w:color w:val="605E5C"/>
      <w:shd w:val="clear" w:color="auto" w:fill="E1DFDD"/>
    </w:rPr>
  </w:style>
  <w:style w:type="paragraph" w:styleId="ListParagraph">
    <w:name w:val="List Paragraph"/>
    <w:basedOn w:val="Normal"/>
    <w:uiPriority w:val="34"/>
    <w:qFormat/>
    <w:rsid w:val="00865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856794">
      <w:bodyDiv w:val="1"/>
      <w:marLeft w:val="0"/>
      <w:marRight w:val="0"/>
      <w:marTop w:val="0"/>
      <w:marBottom w:val="0"/>
      <w:divBdr>
        <w:top w:val="none" w:sz="0" w:space="0" w:color="auto"/>
        <w:left w:val="none" w:sz="0" w:space="0" w:color="auto"/>
        <w:bottom w:val="none" w:sz="0" w:space="0" w:color="auto"/>
        <w:right w:val="none" w:sz="0" w:space="0" w:color="auto"/>
      </w:divBdr>
    </w:div>
    <w:div w:id="1575161683">
      <w:bodyDiv w:val="1"/>
      <w:marLeft w:val="0"/>
      <w:marRight w:val="0"/>
      <w:marTop w:val="0"/>
      <w:marBottom w:val="0"/>
      <w:divBdr>
        <w:top w:val="none" w:sz="0" w:space="0" w:color="auto"/>
        <w:left w:val="none" w:sz="0" w:space="0" w:color="auto"/>
        <w:bottom w:val="none" w:sz="0" w:space="0" w:color="auto"/>
        <w:right w:val="none" w:sz="0" w:space="0" w:color="auto"/>
      </w:divBdr>
    </w:div>
    <w:div w:id="1697534784">
      <w:bodyDiv w:val="1"/>
      <w:marLeft w:val="0"/>
      <w:marRight w:val="0"/>
      <w:marTop w:val="0"/>
      <w:marBottom w:val="0"/>
      <w:divBdr>
        <w:top w:val="none" w:sz="0" w:space="0" w:color="auto"/>
        <w:left w:val="none" w:sz="0" w:space="0" w:color="auto"/>
        <w:bottom w:val="none" w:sz="0" w:space="0" w:color="auto"/>
        <w:right w:val="none" w:sz="0" w:space="0" w:color="auto"/>
      </w:divBdr>
    </w:div>
    <w:div w:id="19041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6200" TargetMode="External"/><Relationship Id="rId13" Type="http://schemas.openxmlformats.org/officeDocument/2006/relationships/hyperlink" Target="https://likumi.lv/ta/id/297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56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CELEX%3A02014R0651-202307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LV/TXT/?uri=CELEX%3A02014R0651-20230701" TargetMode="External"/><Relationship Id="rId4" Type="http://schemas.openxmlformats.org/officeDocument/2006/relationships/settings" Target="settings.xml"/><Relationship Id="rId9" Type="http://schemas.openxmlformats.org/officeDocument/2006/relationships/hyperlink" Target="https://eur-lex.europa.eu/eli/reg/2023/2831/oj/?locale=LV" TargetMode="External"/><Relationship Id="rId14" Type="http://schemas.openxmlformats.org/officeDocument/2006/relationships/hyperlink" Target="https://likumi.lv/ta/id/289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AB96-04CD-4CB7-9600-E76456E8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6</Pages>
  <Words>9042</Words>
  <Characters>5155</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Gints Kārkliņš</dc:creator>
  <cp:lastModifiedBy>Gints Kārkliņš</cp:lastModifiedBy>
  <cp:revision>35</cp:revision>
  <cp:lastPrinted>2018-08-29T12:50:00Z</cp:lastPrinted>
  <dcterms:created xsi:type="dcterms:W3CDTF">2024-08-01T10:37:00Z</dcterms:created>
  <dcterms:modified xsi:type="dcterms:W3CDTF">2024-12-02T10:28:00Z</dcterms:modified>
</cp:coreProperties>
</file>