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A408" w14:textId="76880594" w:rsidR="00A97C3C" w:rsidRPr="008C6A94" w:rsidRDefault="00C47A91" w:rsidP="00C47A91">
      <w:pPr>
        <w:jc w:val="center"/>
        <w:rPr>
          <w:b/>
          <w:bCs/>
        </w:rPr>
      </w:pPr>
      <w:r w:rsidRPr="00C47A91">
        <w:rPr>
          <w:b/>
          <w:bCs/>
        </w:rPr>
        <w:t>Attiecināmās izmaksas attaisnojošie dokumenti</w:t>
      </w:r>
      <w:r w:rsidR="007F6D42">
        <w:rPr>
          <w:b/>
          <w:bCs/>
        </w:rPr>
        <w:t xml:space="preserve"> Finansējuma saņēmējam un Sadarbības partnerim. </w:t>
      </w:r>
    </w:p>
    <w:p w14:paraId="790A7CB4" w14:textId="77777777" w:rsidR="00A97C3C" w:rsidRDefault="00A97C3C" w:rsidP="00B87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7"/>
        <w:gridCol w:w="5230"/>
        <w:gridCol w:w="8753"/>
      </w:tblGrid>
      <w:tr w:rsidR="00CB0A11" w:rsidRPr="00A54805" w14:paraId="7639A408" w14:textId="77777777" w:rsidTr="004C62D0">
        <w:trPr>
          <w:trHeight w:val="113"/>
        </w:trPr>
        <w:tc>
          <w:tcPr>
            <w:tcW w:w="198" w:type="pct"/>
            <w:shd w:val="clear" w:color="auto" w:fill="C2D69B" w:themeFill="accent3" w:themeFillTint="99"/>
            <w:vAlign w:val="center"/>
          </w:tcPr>
          <w:p w14:paraId="225EEF44" w14:textId="77777777" w:rsidR="00A97C3C" w:rsidRPr="00A54805" w:rsidRDefault="00A97C3C" w:rsidP="00E23716">
            <w:pPr>
              <w:jc w:val="center"/>
              <w:rPr>
                <w:b/>
              </w:rPr>
            </w:pPr>
            <w:r w:rsidRPr="00A54805">
              <w:rPr>
                <w:b/>
              </w:rPr>
              <w:t>Nr.</w:t>
            </w:r>
          </w:p>
          <w:p w14:paraId="2F0DD082" w14:textId="77777777" w:rsidR="00A97C3C" w:rsidRPr="00A54805" w:rsidRDefault="00A97C3C" w:rsidP="00E23716">
            <w:pPr>
              <w:jc w:val="center"/>
              <w:rPr>
                <w:b/>
              </w:rPr>
            </w:pPr>
            <w:r w:rsidRPr="00A54805">
              <w:rPr>
                <w:b/>
              </w:rPr>
              <w:t>p.k.</w:t>
            </w:r>
          </w:p>
        </w:tc>
        <w:tc>
          <w:tcPr>
            <w:tcW w:w="1796" w:type="pct"/>
            <w:shd w:val="clear" w:color="auto" w:fill="C2D69B" w:themeFill="accent3" w:themeFillTint="99"/>
            <w:vAlign w:val="center"/>
          </w:tcPr>
          <w:p w14:paraId="4004C5AC" w14:textId="77777777" w:rsidR="00A97C3C" w:rsidRPr="00A54805" w:rsidRDefault="00A97C3C" w:rsidP="00E23716">
            <w:pPr>
              <w:jc w:val="center"/>
              <w:rPr>
                <w:b/>
              </w:rPr>
            </w:pPr>
            <w:r w:rsidRPr="00A54805">
              <w:rPr>
                <w:b/>
              </w:rPr>
              <w:t>Attiecināmās izmaksas (izmaksu pozīcijas)</w:t>
            </w:r>
          </w:p>
        </w:tc>
        <w:tc>
          <w:tcPr>
            <w:tcW w:w="3006" w:type="pct"/>
            <w:shd w:val="clear" w:color="auto" w:fill="C2D69B" w:themeFill="accent3" w:themeFillTint="99"/>
            <w:vAlign w:val="center"/>
          </w:tcPr>
          <w:p w14:paraId="1220250A" w14:textId="58680FC9" w:rsidR="00A97C3C" w:rsidRPr="00A54805" w:rsidRDefault="00AA6E6F" w:rsidP="00E23716">
            <w:pPr>
              <w:jc w:val="center"/>
              <w:rPr>
                <w:b/>
              </w:rPr>
            </w:pPr>
            <w:r w:rsidRPr="00A54805">
              <w:rPr>
                <w:b/>
              </w:rPr>
              <w:t>Vides investīciju fondā</w:t>
            </w:r>
            <w:r w:rsidR="00A97C3C" w:rsidRPr="00A54805">
              <w:rPr>
                <w:b/>
              </w:rPr>
              <w:t xml:space="preserve"> iesniedzam</w:t>
            </w:r>
            <w:r w:rsidR="00A405D9">
              <w:rPr>
                <w:b/>
              </w:rPr>
              <w:t>ie</w:t>
            </w:r>
            <w:r w:rsidR="00A97C3C" w:rsidRPr="00A54805">
              <w:rPr>
                <w:b/>
              </w:rPr>
              <w:t xml:space="preserve"> dokument</w:t>
            </w:r>
            <w:r w:rsidR="004764AB">
              <w:rPr>
                <w:b/>
              </w:rPr>
              <w:t>i</w:t>
            </w:r>
            <w:r w:rsidR="00A97C3C" w:rsidRPr="00A54805">
              <w:rPr>
                <w:b/>
                <w:vertAlign w:val="superscript"/>
              </w:rPr>
              <w:t>1</w:t>
            </w:r>
          </w:p>
        </w:tc>
      </w:tr>
      <w:tr w:rsidR="002E70D8" w:rsidRPr="00A54805" w14:paraId="45FC8A33" w14:textId="77777777" w:rsidTr="004C62D0">
        <w:trPr>
          <w:trHeight w:val="113"/>
        </w:trPr>
        <w:tc>
          <w:tcPr>
            <w:tcW w:w="198" w:type="pct"/>
            <w:shd w:val="clear" w:color="auto" w:fill="FFFFFF"/>
          </w:tcPr>
          <w:p w14:paraId="4EAE3EF8" w14:textId="55D899ED" w:rsidR="002E70D8" w:rsidRPr="00A54805" w:rsidRDefault="002E70D8" w:rsidP="00E23716">
            <w:pPr>
              <w:jc w:val="center"/>
            </w:pPr>
            <w:r>
              <w:t>1.</w:t>
            </w:r>
          </w:p>
        </w:tc>
        <w:tc>
          <w:tcPr>
            <w:tcW w:w="1796" w:type="pct"/>
          </w:tcPr>
          <w:p w14:paraId="4A2D517C" w14:textId="77777777" w:rsidR="002E70D8" w:rsidRPr="00A01F26" w:rsidRDefault="002E70D8" w:rsidP="002E70D8">
            <w:pPr>
              <w:jc w:val="both"/>
            </w:pPr>
            <w:r w:rsidRPr="00A01F26">
              <w:t>Atlīdzība (algas (bruto); darba devēja VSAOI)</w:t>
            </w:r>
          </w:p>
          <w:p w14:paraId="0DB28A29" w14:textId="23C9B6A7" w:rsidR="002E70D8" w:rsidRPr="00A01F26" w:rsidRDefault="002E70D8" w:rsidP="002E70D8">
            <w:pPr>
              <w:jc w:val="both"/>
              <w:rPr>
                <w:i/>
                <w:iCs/>
              </w:rPr>
            </w:pPr>
            <w:r w:rsidRPr="00A01F26">
              <w:rPr>
                <w:i/>
                <w:iCs/>
                <w:sz w:val="22"/>
                <w:szCs w:val="22"/>
              </w:rPr>
              <w:t>Projekta personāla darba alga (neieskaitot</w:t>
            </w:r>
            <w:r w:rsidR="00A01F26">
              <w:rPr>
                <w:i/>
                <w:iCs/>
                <w:sz w:val="22"/>
                <w:szCs w:val="22"/>
              </w:rPr>
              <w:t xml:space="preserve"> jebkāda veida piemaksas,</w:t>
            </w:r>
            <w:r w:rsidRPr="00A01F26">
              <w:rPr>
                <w:i/>
                <w:iCs/>
                <w:sz w:val="22"/>
                <w:szCs w:val="22"/>
              </w:rPr>
              <w:t xml:space="preserve"> slimības naudu, atvaļinājumu, </w:t>
            </w:r>
            <w:r w:rsidR="007A6A42">
              <w:rPr>
                <w:i/>
                <w:iCs/>
                <w:sz w:val="22"/>
                <w:szCs w:val="22"/>
              </w:rPr>
              <w:t>iemaksas pensiju fondā,</w:t>
            </w:r>
            <w:r w:rsidR="00387721" w:rsidRPr="00A01F26">
              <w:rPr>
                <w:i/>
                <w:iCs/>
                <w:sz w:val="22"/>
                <w:szCs w:val="22"/>
              </w:rPr>
              <w:t xml:space="preserve"> virs</w:t>
            </w:r>
            <w:r w:rsidR="00402D2F">
              <w:rPr>
                <w:i/>
                <w:iCs/>
                <w:sz w:val="22"/>
                <w:szCs w:val="22"/>
              </w:rPr>
              <w:t>s</w:t>
            </w:r>
            <w:r w:rsidR="00387721" w:rsidRPr="00A01F26">
              <w:rPr>
                <w:i/>
                <w:iCs/>
                <w:sz w:val="22"/>
                <w:szCs w:val="22"/>
              </w:rPr>
              <w:t>tundas</w:t>
            </w:r>
            <w:r w:rsidR="007A6A42">
              <w:rPr>
                <w:i/>
                <w:iCs/>
                <w:sz w:val="22"/>
                <w:szCs w:val="22"/>
              </w:rPr>
              <w:t xml:space="preserve"> un citas neregulārās izmaksas</w:t>
            </w:r>
            <w:r w:rsidRPr="00A01F26">
              <w:rPr>
                <w:i/>
                <w:iCs/>
                <w:sz w:val="22"/>
                <w:szCs w:val="22"/>
              </w:rPr>
              <w:t xml:space="preserve">) un darba devēja veiktās valsts sociālās apdrošināšanas obligātās iemaksas. </w:t>
            </w:r>
          </w:p>
        </w:tc>
        <w:tc>
          <w:tcPr>
            <w:tcW w:w="3006" w:type="pct"/>
          </w:tcPr>
          <w:p w14:paraId="3A963478" w14:textId="69C783CD" w:rsidR="002E70D8" w:rsidRPr="00A01F26" w:rsidRDefault="002E70D8" w:rsidP="002E70D8">
            <w:pPr>
              <w:jc w:val="both"/>
            </w:pPr>
            <w:r w:rsidRPr="00A01F26">
              <w:t>1. Darba līgums</w:t>
            </w:r>
            <w:r w:rsidR="00062C37">
              <w:t>/vienošanās</w:t>
            </w:r>
            <w:r w:rsidRPr="00A01F26">
              <w:t xml:space="preserve"> vai rīkojums</w:t>
            </w:r>
            <w:r w:rsidR="00062C37">
              <w:t xml:space="preserve"> </w:t>
            </w:r>
            <w:r w:rsidR="00062C37" w:rsidRPr="00062C37">
              <w:t>par darbinieka pārcelšanu darbam projektā</w:t>
            </w:r>
            <w:r w:rsidRPr="00A01F26">
              <w:t>, kurā par katru norīkoto darbinieku norādīta normatīvajos aktos noteiktā informācija</w:t>
            </w:r>
            <w:r w:rsidR="00775878" w:rsidRPr="00A01F26">
              <w:t xml:space="preserve"> (</w:t>
            </w:r>
            <w:r w:rsidRPr="00A01F26">
              <w:t>vārds un uzvārds;</w:t>
            </w:r>
            <w:r w:rsidR="00775878" w:rsidRPr="00A01F26">
              <w:t xml:space="preserve"> </w:t>
            </w:r>
            <w:r w:rsidRPr="00A01F26">
              <w:t>darba apraksts;</w:t>
            </w:r>
            <w:r w:rsidR="00775878" w:rsidRPr="00A01F26">
              <w:t xml:space="preserve"> stundu</w:t>
            </w:r>
            <w:r w:rsidRPr="00A01F26">
              <w:t xml:space="preserve"> vai </w:t>
            </w:r>
            <w:r w:rsidR="00775878" w:rsidRPr="00A01F26">
              <w:t>mēneša</w:t>
            </w:r>
            <w:r w:rsidRPr="00A01F26">
              <w:t xml:space="preserve"> darba laiks;</w:t>
            </w:r>
            <w:r w:rsidR="00775878" w:rsidRPr="00A01F26">
              <w:t xml:space="preserve"> </w:t>
            </w:r>
            <w:r w:rsidRPr="00A01F26">
              <w:t>darba alga</w:t>
            </w:r>
            <w:r w:rsidR="00775878" w:rsidRPr="00A01F26">
              <w:t>s lielums)</w:t>
            </w:r>
            <w:r w:rsidR="00E15DCA" w:rsidRPr="00A01F26">
              <w:t>;</w:t>
            </w:r>
          </w:p>
          <w:p w14:paraId="2B3530DF" w14:textId="0D385DF0" w:rsidR="00E51ABB" w:rsidRPr="00A01F26" w:rsidRDefault="00E51ABB" w:rsidP="002E70D8">
            <w:pPr>
              <w:jc w:val="both"/>
            </w:pPr>
            <w:r w:rsidRPr="00A01F26">
              <w:t>2. Amata apraksts (ja attiecināms);</w:t>
            </w:r>
          </w:p>
          <w:p w14:paraId="2F67A3DB" w14:textId="4B296494" w:rsidR="002E70D8" w:rsidRPr="00A01F26" w:rsidRDefault="00E51ABB" w:rsidP="002E70D8">
            <w:pPr>
              <w:jc w:val="both"/>
            </w:pPr>
            <w:r w:rsidRPr="00A01F26">
              <w:t>3</w:t>
            </w:r>
            <w:r w:rsidR="002E70D8" w:rsidRPr="00A01F26">
              <w:t xml:space="preserve">. </w:t>
            </w:r>
            <w:r w:rsidRPr="00A01F26">
              <w:t>Uz projektu attiecināmās d</w:t>
            </w:r>
            <w:r w:rsidR="002E70D8" w:rsidRPr="00A01F26">
              <w:t>arba algas aprēķins;</w:t>
            </w:r>
          </w:p>
          <w:p w14:paraId="3605CE3E" w14:textId="3120183B" w:rsidR="002E70D8" w:rsidRPr="00A01F26" w:rsidRDefault="00E51ABB" w:rsidP="002E70D8">
            <w:pPr>
              <w:jc w:val="both"/>
            </w:pPr>
            <w:r w:rsidRPr="00A01F26">
              <w:t>4</w:t>
            </w:r>
            <w:r w:rsidR="002E70D8" w:rsidRPr="00A01F26">
              <w:t>. Darba laika uzskaites tab</w:t>
            </w:r>
            <w:r w:rsidRPr="00A01F26">
              <w:t>e</w:t>
            </w:r>
            <w:r w:rsidR="002E70D8" w:rsidRPr="00A01F26">
              <w:t>l</w:t>
            </w:r>
            <w:r w:rsidRPr="00A01F26">
              <w:t>e</w:t>
            </w:r>
            <w:r w:rsidR="002E70D8" w:rsidRPr="00A01F26">
              <w:t xml:space="preserve"> par </w:t>
            </w:r>
            <w:r w:rsidRPr="00A01F26">
              <w:t xml:space="preserve">katru nostrādāto </w:t>
            </w:r>
            <w:r w:rsidR="002E70D8" w:rsidRPr="00A01F26">
              <w:t>mēne</w:t>
            </w:r>
            <w:r w:rsidRPr="00A01F26">
              <w:t>si (atsevišķi norādot</w:t>
            </w:r>
            <w:r w:rsidR="002E70D8" w:rsidRPr="00A01F26">
              <w:t xml:space="preserve"> uz projektu</w:t>
            </w:r>
            <w:r w:rsidR="00062C37">
              <w:t xml:space="preserve"> un pamatdarbā</w:t>
            </w:r>
            <w:r w:rsidR="002E70D8" w:rsidRPr="00A01F26">
              <w:t xml:space="preserve"> nostrādāto stundu skaitu</w:t>
            </w:r>
            <w:r w:rsidRPr="00A01F26">
              <w:t>)</w:t>
            </w:r>
            <w:r w:rsidR="002E70D8" w:rsidRPr="00A01F26">
              <w:t>;</w:t>
            </w:r>
          </w:p>
          <w:p w14:paraId="06AF9810" w14:textId="23B9C17D" w:rsidR="00E51ABB" w:rsidRPr="00A01F26" w:rsidRDefault="00E51ABB" w:rsidP="002E70D8">
            <w:pPr>
              <w:jc w:val="both"/>
            </w:pPr>
            <w:r w:rsidRPr="00A01F26">
              <w:t>5. Personīgā konta izdruka (algas kartiņa);</w:t>
            </w:r>
          </w:p>
          <w:p w14:paraId="146FA641" w14:textId="4728EE48" w:rsidR="002E70D8" w:rsidRPr="00A01F26" w:rsidRDefault="002E70D8" w:rsidP="002E70D8">
            <w:pPr>
              <w:jc w:val="both"/>
            </w:pPr>
            <w:r w:rsidRPr="00A01F26">
              <w:t>4. Projekta bankas konta apgrozījuma izdruka</w:t>
            </w:r>
            <w:r w:rsidRPr="00A01F26">
              <w:rPr>
                <w:vertAlign w:val="superscript"/>
              </w:rPr>
              <w:t>3</w:t>
            </w:r>
            <w:r w:rsidRPr="00A01F26">
              <w:t xml:space="preserve"> par pārskata periodu</w:t>
            </w:r>
            <w:r w:rsidR="00E15DCA" w:rsidRPr="00A01F26">
              <w:t>;</w:t>
            </w:r>
          </w:p>
          <w:p w14:paraId="156B071C" w14:textId="3CF223A2" w:rsidR="00062C37" w:rsidRPr="00A01F26" w:rsidRDefault="002E70D8" w:rsidP="007A6A42">
            <w:pPr>
              <w:jc w:val="both"/>
            </w:pPr>
            <w:r w:rsidRPr="00A01F26">
              <w:t>5. Atskaite, kurā norādīts katra projektā iesaistītā darbinieka īss paveikt</w:t>
            </w:r>
            <w:r w:rsidR="00E51ABB" w:rsidRPr="00A01F26">
              <w:t>ais</w:t>
            </w:r>
            <w:r w:rsidRPr="00A01F26">
              <w:t>.</w:t>
            </w:r>
          </w:p>
        </w:tc>
      </w:tr>
      <w:tr w:rsidR="002E70D8" w:rsidRPr="00A54805" w14:paraId="7728E2B6" w14:textId="77777777" w:rsidTr="004C62D0">
        <w:trPr>
          <w:trHeight w:val="113"/>
        </w:trPr>
        <w:tc>
          <w:tcPr>
            <w:tcW w:w="198" w:type="pct"/>
            <w:shd w:val="clear" w:color="auto" w:fill="FFFFFF"/>
          </w:tcPr>
          <w:p w14:paraId="72654D58" w14:textId="7251AF9E" w:rsidR="002E70D8" w:rsidRPr="00A54805" w:rsidRDefault="002E70D8" w:rsidP="00E23716">
            <w:pPr>
              <w:jc w:val="center"/>
            </w:pPr>
            <w:r>
              <w:t>2.</w:t>
            </w:r>
          </w:p>
        </w:tc>
        <w:tc>
          <w:tcPr>
            <w:tcW w:w="1796" w:type="pct"/>
          </w:tcPr>
          <w:p w14:paraId="33551F95" w14:textId="42CB2E78" w:rsidR="002E70D8" w:rsidRPr="00265F4E" w:rsidRDefault="002E70D8" w:rsidP="002E70D8">
            <w:pPr>
              <w:jc w:val="both"/>
            </w:pPr>
            <w:r w:rsidRPr="002E70D8">
              <w:t>Autoratlīdzības izmaksa</w:t>
            </w:r>
            <w:r>
              <w:t>s</w:t>
            </w:r>
          </w:p>
        </w:tc>
        <w:tc>
          <w:tcPr>
            <w:tcW w:w="3006" w:type="pct"/>
          </w:tcPr>
          <w:p w14:paraId="115706B6" w14:textId="4BB01093" w:rsidR="00775878" w:rsidRPr="00A54805" w:rsidRDefault="00775878" w:rsidP="00775878">
            <w:pPr>
              <w:jc w:val="both"/>
            </w:pPr>
            <w:r>
              <w:t>1. N</w:t>
            </w:r>
            <w:r w:rsidRPr="00A54805">
              <w:t>oslēgtais līgum</w:t>
            </w:r>
            <w:r>
              <w:t>s</w:t>
            </w:r>
            <w:r w:rsidRPr="00A54805">
              <w:t>;</w:t>
            </w:r>
          </w:p>
          <w:p w14:paraId="52A92C63" w14:textId="7BE9D810" w:rsidR="00775878" w:rsidRPr="00A54805" w:rsidRDefault="00775878" w:rsidP="00775878">
            <w:pPr>
              <w:jc w:val="both"/>
            </w:pPr>
            <w:r>
              <w:t>2. D</w:t>
            </w:r>
            <w:r w:rsidRPr="00A54805">
              <w:t>arījumu apliecinoši dokumenti</w:t>
            </w:r>
            <w:r w:rsidRPr="00B04AC6">
              <w:rPr>
                <w:vertAlign w:val="superscript"/>
              </w:rPr>
              <w:t>2</w:t>
            </w:r>
            <w:r w:rsidRPr="00A54805">
              <w:t>;</w:t>
            </w:r>
          </w:p>
          <w:p w14:paraId="3F18BB9D" w14:textId="51D31AA4" w:rsidR="00775878" w:rsidRPr="00A54805" w:rsidRDefault="00775878" w:rsidP="00775878">
            <w:pPr>
              <w:jc w:val="both"/>
            </w:pPr>
            <w:r>
              <w:t>3. P</w:t>
            </w:r>
            <w:r w:rsidRPr="00A54805">
              <w:t>ieņemšanas-nodošanas akti;</w:t>
            </w:r>
          </w:p>
          <w:p w14:paraId="03D1DD77" w14:textId="77777777" w:rsidR="002E70D8" w:rsidRDefault="00775878" w:rsidP="00775878">
            <w:pPr>
              <w:jc w:val="both"/>
            </w:pPr>
            <w:r>
              <w:t>4.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r w:rsidR="00E51ABB">
              <w:t>;</w:t>
            </w:r>
          </w:p>
          <w:p w14:paraId="646795BF" w14:textId="77777777" w:rsidR="003418BD" w:rsidRDefault="00E51ABB" w:rsidP="00775878">
            <w:pPr>
              <w:jc w:val="both"/>
            </w:pPr>
            <w:r>
              <w:t xml:space="preserve">5. Nodevumi </w:t>
            </w:r>
            <w:r w:rsidRPr="00E51ABB">
              <w:t>(rezultātu apraksts, tehniskie projekti) (ja attiecināms)</w:t>
            </w:r>
            <w:r w:rsidR="003418BD">
              <w:t>;</w:t>
            </w:r>
          </w:p>
          <w:p w14:paraId="63A97636" w14:textId="3909CD0D" w:rsidR="003418BD" w:rsidRDefault="003418BD" w:rsidP="00775878">
            <w:pPr>
              <w:jc w:val="both"/>
            </w:pPr>
            <w:r>
              <w:t xml:space="preserve">6. </w:t>
            </w:r>
            <w:r w:rsidRPr="00B121E5">
              <w:t xml:space="preserve">Iepirkuma procedūras dokumenti </w:t>
            </w:r>
            <w:r>
              <w:t>(ja attiecināms).</w:t>
            </w:r>
          </w:p>
        </w:tc>
      </w:tr>
      <w:tr w:rsidR="002E70D8" w:rsidRPr="00A54805" w14:paraId="0AD228AD" w14:textId="77777777" w:rsidTr="004C62D0">
        <w:trPr>
          <w:trHeight w:val="113"/>
        </w:trPr>
        <w:tc>
          <w:tcPr>
            <w:tcW w:w="198" w:type="pct"/>
            <w:shd w:val="clear" w:color="auto" w:fill="FFFFFF"/>
          </w:tcPr>
          <w:p w14:paraId="7EC2BB54" w14:textId="33B83AD3" w:rsidR="002E70D8" w:rsidRPr="00A54805" w:rsidRDefault="002E70D8" w:rsidP="00E23716">
            <w:pPr>
              <w:jc w:val="center"/>
            </w:pPr>
            <w:r>
              <w:t>3.</w:t>
            </w:r>
          </w:p>
        </w:tc>
        <w:tc>
          <w:tcPr>
            <w:tcW w:w="1796" w:type="pct"/>
          </w:tcPr>
          <w:p w14:paraId="7142548B" w14:textId="77777777" w:rsidR="002E70D8" w:rsidRDefault="002E70D8" w:rsidP="002E70D8">
            <w:pPr>
              <w:jc w:val="both"/>
            </w:pPr>
            <w:r w:rsidRPr="002E70D8">
              <w:t>Ārējo pakalpojumu izmaksas</w:t>
            </w:r>
          </w:p>
          <w:p w14:paraId="2D0D8C11" w14:textId="3E0EC04A" w:rsidR="00387721" w:rsidRPr="00387721" w:rsidRDefault="00387721" w:rsidP="002E70D8">
            <w:pPr>
              <w:jc w:val="both"/>
              <w:rPr>
                <w:b/>
                <w:bCs/>
                <w:i/>
                <w:iCs/>
              </w:rPr>
            </w:pPr>
            <w:r w:rsidRPr="00387721">
              <w:rPr>
                <w:b/>
                <w:bCs/>
                <w:i/>
                <w:iCs/>
              </w:rPr>
              <w:t>Nepārsniedz 20</w:t>
            </w:r>
            <w:r>
              <w:rPr>
                <w:b/>
                <w:bCs/>
                <w:i/>
                <w:iCs/>
              </w:rPr>
              <w:t> </w:t>
            </w:r>
            <w:r w:rsidRPr="00387721">
              <w:rPr>
                <w:b/>
                <w:bCs/>
                <w:i/>
                <w:iCs/>
              </w:rPr>
              <w:t>% no projekta kopējām attiecināmajām izmaksām</w:t>
            </w:r>
            <w:r>
              <w:rPr>
                <w:b/>
                <w:bCs/>
                <w:i/>
                <w:iCs/>
              </w:rPr>
              <w:t>.</w:t>
            </w:r>
          </w:p>
          <w:p w14:paraId="467D6343" w14:textId="77777777" w:rsidR="002E70D8" w:rsidRDefault="002E70D8" w:rsidP="002E70D8">
            <w:pPr>
              <w:jc w:val="both"/>
              <w:rPr>
                <w:i/>
                <w:iCs/>
              </w:rPr>
            </w:pPr>
            <w:r w:rsidRPr="002E70D8">
              <w:rPr>
                <w:i/>
                <w:iCs/>
              </w:rPr>
              <w:t>Kas nepieciešamas, lai sasniegtu projekta mērķi (piemēram, grāmatvedības pakalpojumi, semināru apkalpošana).</w:t>
            </w:r>
          </w:p>
          <w:p w14:paraId="45BEC92A" w14:textId="77777777" w:rsidR="00BC7CD0" w:rsidRDefault="00BC7CD0" w:rsidP="002E70D8">
            <w:pPr>
              <w:jc w:val="both"/>
              <w:rPr>
                <w:i/>
                <w:iCs/>
              </w:rPr>
            </w:pPr>
          </w:p>
          <w:p w14:paraId="0F997397" w14:textId="44C7C147" w:rsidR="00BC7CD0" w:rsidRPr="002E70D8" w:rsidRDefault="00402D2F" w:rsidP="002E70D8">
            <w:pPr>
              <w:jc w:val="both"/>
              <w:rPr>
                <w:i/>
                <w:iCs/>
              </w:rPr>
            </w:pPr>
            <w:r w:rsidRPr="00402D2F">
              <w:rPr>
                <w:i/>
                <w:iCs/>
              </w:rPr>
              <w:t>Ēdināšanas izmaksas un kafijas paužu izmaksas nav attiecināmas izmaksas</w:t>
            </w:r>
          </w:p>
        </w:tc>
        <w:tc>
          <w:tcPr>
            <w:tcW w:w="3006" w:type="pct"/>
          </w:tcPr>
          <w:p w14:paraId="02062305" w14:textId="009FDF1D" w:rsidR="00775878" w:rsidRPr="00A54805" w:rsidRDefault="00775878" w:rsidP="003418BD">
            <w:pPr>
              <w:jc w:val="both"/>
            </w:pPr>
            <w:r>
              <w:t xml:space="preserve">1. </w:t>
            </w:r>
            <w:r w:rsidR="007A6A42" w:rsidRPr="00B121E5">
              <w:t>Iepirkuma procedūras dokumenti</w:t>
            </w:r>
            <w:r w:rsidR="007A6A42">
              <w:t>: i</w:t>
            </w:r>
            <w:r w:rsidRPr="00A54805">
              <w:t>epirkuma nolikums, uzaicinājumi un tehniskās specifikācijas;</w:t>
            </w:r>
            <w:r w:rsidR="007A6A42">
              <w:t xml:space="preserve"> </w:t>
            </w:r>
            <w:r>
              <w:t>I</w:t>
            </w:r>
            <w:r w:rsidRPr="00A54805">
              <w:t>zvēlētā pretendenta iesniegtais piedāvājums;</w:t>
            </w:r>
            <w:r>
              <w:t xml:space="preserve"> V</w:t>
            </w:r>
            <w:r w:rsidRPr="00A54805">
              <w:t>ērtēšanas ziņojums un komisijas sēžu protokoli, lēmums par iepirkuma procedūras rezultātiem;</w:t>
            </w:r>
          </w:p>
          <w:p w14:paraId="407A2E30" w14:textId="39CBEA10" w:rsidR="00775878" w:rsidRPr="00A54805" w:rsidRDefault="007A6A42" w:rsidP="00775878">
            <w:pPr>
              <w:jc w:val="both"/>
            </w:pPr>
            <w:r>
              <w:t>2</w:t>
            </w:r>
            <w:r w:rsidR="00775878">
              <w:t>. A</w:t>
            </w:r>
            <w:r w:rsidR="00775878" w:rsidRPr="00A54805">
              <w:t>r izpildītāju</w:t>
            </w:r>
            <w:r>
              <w:t>/</w:t>
            </w:r>
            <w:r w:rsidR="003418BD">
              <w:t xml:space="preserve"> pakalpojumu sniedzēju</w:t>
            </w:r>
            <w:r w:rsidR="00775878" w:rsidRPr="00A54805">
              <w:t xml:space="preserve"> noslēgtais līgums un tā pielikumi, kuram kā neatdalāma sastāvdaļa pievienota detalizēta tāme</w:t>
            </w:r>
            <w:r w:rsidR="00A44B4E">
              <w:t xml:space="preserve"> un darba uzdevumi</w:t>
            </w:r>
            <w:r w:rsidR="00775878" w:rsidRPr="00A54805">
              <w:t>;</w:t>
            </w:r>
          </w:p>
          <w:p w14:paraId="2A4ACA32" w14:textId="08FA08C0" w:rsidR="00775878" w:rsidRPr="007A6A42" w:rsidRDefault="007A6A42" w:rsidP="00775878">
            <w:pPr>
              <w:jc w:val="both"/>
            </w:pPr>
            <w:r>
              <w:t>3</w:t>
            </w:r>
            <w:r w:rsidR="00775878">
              <w:t>. D</w:t>
            </w:r>
            <w:r w:rsidR="00775878" w:rsidRPr="00A54805">
              <w:t>arījumu apliecinoši dokumenti</w:t>
            </w:r>
            <w:r w:rsidR="00775878" w:rsidRPr="00B04AC6">
              <w:rPr>
                <w:vertAlign w:val="superscript"/>
              </w:rPr>
              <w:t>2</w:t>
            </w:r>
            <w:r w:rsidR="00775878" w:rsidRPr="00A54805">
              <w:t>;</w:t>
            </w:r>
          </w:p>
          <w:p w14:paraId="123BBA15" w14:textId="58EBF704" w:rsidR="00775878" w:rsidRPr="00A54805" w:rsidRDefault="007A6A42" w:rsidP="00775878">
            <w:pPr>
              <w:jc w:val="both"/>
            </w:pPr>
            <w:r>
              <w:t>4</w:t>
            </w:r>
            <w:r w:rsidR="00775878">
              <w:t>. P</w:t>
            </w:r>
            <w:r w:rsidR="00775878" w:rsidRPr="00A54805">
              <w:t>ieņemšanas-nodošanas akti;</w:t>
            </w:r>
          </w:p>
          <w:p w14:paraId="0CF414E4" w14:textId="7478D6DF" w:rsidR="002E70D8" w:rsidRDefault="007A6A42" w:rsidP="00B37342">
            <w:pPr>
              <w:jc w:val="both"/>
            </w:pPr>
            <w:r>
              <w:t>5</w:t>
            </w:r>
            <w:r w:rsidR="00775878">
              <w:t>. P</w:t>
            </w:r>
            <w:r w:rsidR="00775878" w:rsidRPr="00A54805">
              <w:t xml:space="preserve">rojekta </w:t>
            </w:r>
            <w:r w:rsidR="00775878">
              <w:t xml:space="preserve">bankas </w:t>
            </w:r>
            <w:r w:rsidR="00775878" w:rsidRPr="00A54805">
              <w:t>konta apgrozījuma izdruka</w:t>
            </w:r>
            <w:r w:rsidR="00775878" w:rsidRPr="00B04AC6">
              <w:rPr>
                <w:vertAlign w:val="superscript"/>
              </w:rPr>
              <w:t>3</w:t>
            </w:r>
            <w:r w:rsidR="00775878" w:rsidRPr="00A54805">
              <w:t xml:space="preserve"> par pārskata periodu</w:t>
            </w:r>
            <w:r>
              <w:t>.</w:t>
            </w:r>
          </w:p>
        </w:tc>
      </w:tr>
      <w:tr w:rsidR="002E70D8" w:rsidRPr="00A54805" w14:paraId="0A116C2D" w14:textId="77777777" w:rsidTr="004C62D0">
        <w:trPr>
          <w:trHeight w:val="113"/>
        </w:trPr>
        <w:tc>
          <w:tcPr>
            <w:tcW w:w="198" w:type="pct"/>
            <w:shd w:val="clear" w:color="auto" w:fill="FFFFFF"/>
          </w:tcPr>
          <w:p w14:paraId="5833CCE5" w14:textId="2EC7EE2B" w:rsidR="002E70D8" w:rsidRDefault="002E70D8" w:rsidP="00E23716">
            <w:pPr>
              <w:jc w:val="center"/>
            </w:pPr>
            <w:r>
              <w:t>4.</w:t>
            </w:r>
          </w:p>
        </w:tc>
        <w:tc>
          <w:tcPr>
            <w:tcW w:w="1796" w:type="pct"/>
          </w:tcPr>
          <w:p w14:paraId="3434408B" w14:textId="77777777" w:rsidR="002E70D8" w:rsidRDefault="002E70D8" w:rsidP="002E70D8">
            <w:pPr>
              <w:jc w:val="both"/>
            </w:pPr>
            <w:r w:rsidRPr="002E70D8">
              <w:t>Telpu nomas izmaksas</w:t>
            </w:r>
          </w:p>
          <w:p w14:paraId="206BDB15" w14:textId="77777777" w:rsidR="002E70D8" w:rsidRDefault="002E70D8" w:rsidP="002E70D8">
            <w:pPr>
              <w:jc w:val="both"/>
              <w:rPr>
                <w:b/>
                <w:bCs/>
                <w:i/>
                <w:iCs/>
              </w:rPr>
            </w:pPr>
            <w:r w:rsidRPr="00387721">
              <w:rPr>
                <w:b/>
                <w:bCs/>
                <w:i/>
                <w:iCs/>
              </w:rPr>
              <w:t>(tikai MK noteikumu Nr.</w:t>
            </w:r>
            <w:r w:rsidR="00387721" w:rsidRPr="00387721">
              <w:rPr>
                <w:b/>
                <w:bCs/>
                <w:i/>
                <w:iCs/>
              </w:rPr>
              <w:t> </w:t>
            </w:r>
            <w:r w:rsidRPr="00387721">
              <w:rPr>
                <w:b/>
                <w:bCs/>
                <w:i/>
                <w:iCs/>
              </w:rPr>
              <w:t xml:space="preserve">84 </w:t>
            </w:r>
            <w:r w:rsidR="00387721" w:rsidRPr="00387721">
              <w:rPr>
                <w:b/>
                <w:bCs/>
                <w:i/>
                <w:iCs/>
              </w:rPr>
              <w:t>6.2. apakšpunktā un 6.3. apakšpunktā minētajā aktivitātē</w:t>
            </w:r>
            <w:r w:rsidRPr="00387721">
              <w:rPr>
                <w:b/>
                <w:bCs/>
                <w:i/>
                <w:iCs/>
              </w:rPr>
              <w:t>)</w:t>
            </w:r>
          </w:p>
          <w:p w14:paraId="3919E7DA" w14:textId="52D762C2" w:rsidR="00BC7CD0" w:rsidRDefault="00BC7CD0" w:rsidP="002E70D8">
            <w:pPr>
              <w:jc w:val="both"/>
              <w:rPr>
                <w:i/>
                <w:iCs/>
              </w:rPr>
            </w:pPr>
            <w:r w:rsidRPr="00BC7CD0">
              <w:rPr>
                <w:i/>
                <w:iCs/>
              </w:rPr>
              <w:lastRenderedPageBreak/>
              <w:t>Telpu nomas izmaksas – ne vairāk kā 20</w:t>
            </w:r>
            <w:r>
              <w:rPr>
                <w:i/>
                <w:iCs/>
              </w:rPr>
              <w:t> </w:t>
            </w:r>
            <w:r w:rsidRPr="00BC7CD0">
              <w:rPr>
                <w:i/>
                <w:iCs/>
              </w:rPr>
              <w:t>euro uz vienu dalībnieku diennaktī</w:t>
            </w:r>
            <w:r w:rsidR="00402D2F">
              <w:rPr>
                <w:i/>
                <w:iCs/>
              </w:rPr>
              <w:t xml:space="preserve"> </w:t>
            </w:r>
            <w:r w:rsidR="00402D2F" w:rsidRPr="00402D2F">
              <w:rPr>
                <w:i/>
                <w:iCs/>
              </w:rPr>
              <w:t>vai jāiesniedz tirgus izpēte ar vismaz 3 piedāvājumiem</w:t>
            </w:r>
            <w:r w:rsidRPr="00BC7CD0">
              <w:rPr>
                <w:i/>
                <w:iCs/>
              </w:rPr>
              <w:t>.</w:t>
            </w:r>
          </w:p>
          <w:p w14:paraId="56484C80" w14:textId="4F1A42A6" w:rsidR="00BC7CD0" w:rsidRPr="00BC7CD0" w:rsidRDefault="00BC7CD0" w:rsidP="002E70D8">
            <w:pPr>
              <w:jc w:val="both"/>
              <w:rPr>
                <w:i/>
                <w:iCs/>
              </w:rPr>
            </w:pPr>
            <w:r>
              <w:rPr>
                <w:i/>
                <w:iCs/>
              </w:rPr>
              <w:t>Neattiecināmās izmaksas: t</w:t>
            </w:r>
            <w:r w:rsidRPr="00BC7CD0">
              <w:rPr>
                <w:i/>
                <w:iCs/>
              </w:rPr>
              <w:t>elpu uzkopšanas un komunālo pakalpojumu izmaksas</w:t>
            </w:r>
          </w:p>
        </w:tc>
        <w:tc>
          <w:tcPr>
            <w:tcW w:w="3006" w:type="pct"/>
          </w:tcPr>
          <w:p w14:paraId="712AEDF0" w14:textId="1389159A" w:rsidR="00775878" w:rsidRPr="00A54805" w:rsidRDefault="00775878" w:rsidP="00775878">
            <w:pPr>
              <w:jc w:val="both"/>
            </w:pPr>
            <w:r>
              <w:lastRenderedPageBreak/>
              <w:t>1. A</w:t>
            </w:r>
            <w:r w:rsidRPr="00A54805">
              <w:t>r izpildītāju noslēgtais līgums;</w:t>
            </w:r>
          </w:p>
          <w:p w14:paraId="16F6F68B" w14:textId="7E4FB750" w:rsidR="00775878" w:rsidRPr="00A54805" w:rsidRDefault="00775878" w:rsidP="00775878">
            <w:pPr>
              <w:jc w:val="both"/>
            </w:pPr>
            <w:r>
              <w:t>2. D</w:t>
            </w:r>
            <w:r w:rsidRPr="00A54805">
              <w:t>arījumu apliecinoši dokumenti</w:t>
            </w:r>
            <w:r w:rsidRPr="00B04AC6">
              <w:rPr>
                <w:vertAlign w:val="superscript"/>
              </w:rPr>
              <w:t>2</w:t>
            </w:r>
            <w:r w:rsidRPr="00A54805">
              <w:t>;</w:t>
            </w:r>
          </w:p>
          <w:p w14:paraId="1B5CEAC5" w14:textId="3A98415D" w:rsidR="00775878" w:rsidRPr="00A54805" w:rsidRDefault="00775878" w:rsidP="00775878">
            <w:pPr>
              <w:jc w:val="both"/>
            </w:pPr>
            <w:r>
              <w:t>3. P</w:t>
            </w:r>
            <w:r w:rsidRPr="00A54805">
              <w:t>ieņemšanas-nodošanas akti;</w:t>
            </w:r>
          </w:p>
          <w:p w14:paraId="474FA70C" w14:textId="2FFF5954" w:rsidR="00775878" w:rsidRDefault="00775878" w:rsidP="00775878">
            <w:pPr>
              <w:jc w:val="both"/>
            </w:pPr>
            <w:r>
              <w:t>4.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r w:rsidR="00E15DCA">
              <w:t>;</w:t>
            </w:r>
          </w:p>
          <w:p w14:paraId="475A488F" w14:textId="7212BBB0" w:rsidR="00BC7CD0" w:rsidRDefault="00775878" w:rsidP="00775878">
            <w:pPr>
              <w:jc w:val="both"/>
            </w:pPr>
            <w:r>
              <w:lastRenderedPageBreak/>
              <w:t xml:space="preserve">5. </w:t>
            </w:r>
            <w:r w:rsidR="00BC7CD0">
              <w:t>Pasākuma norisi pamatojošie dokumenti:</w:t>
            </w:r>
          </w:p>
          <w:p w14:paraId="6D9E71F5" w14:textId="2D95F320" w:rsidR="00BC7CD0" w:rsidRDefault="00BC7CD0" w:rsidP="007A6A42">
            <w:pPr>
              <w:pStyle w:val="ListParagraph"/>
              <w:numPr>
                <w:ilvl w:val="0"/>
                <w:numId w:val="25"/>
              </w:numPr>
              <w:spacing w:after="0" w:line="240" w:lineRule="auto"/>
              <w:ind w:left="714" w:hanging="357"/>
              <w:jc w:val="both"/>
            </w:pPr>
            <w:r>
              <w:t>pasākumu dienas kārtība;</w:t>
            </w:r>
          </w:p>
          <w:p w14:paraId="7286C64D" w14:textId="63590BAA" w:rsidR="00BC7CD0" w:rsidRDefault="00BC7CD0" w:rsidP="007A6A42">
            <w:pPr>
              <w:pStyle w:val="ListParagraph"/>
              <w:numPr>
                <w:ilvl w:val="0"/>
                <w:numId w:val="25"/>
              </w:numPr>
              <w:spacing w:after="0" w:line="240" w:lineRule="auto"/>
              <w:ind w:left="714" w:hanging="357"/>
              <w:jc w:val="both"/>
            </w:pPr>
            <w:r>
              <w:t>dalībnieku reģistrācijas lapas (ar parakstiem);</w:t>
            </w:r>
          </w:p>
          <w:p w14:paraId="7021006D" w14:textId="77777777" w:rsidR="00B37342" w:rsidRDefault="00BC7CD0" w:rsidP="007A6A42">
            <w:pPr>
              <w:pStyle w:val="ListParagraph"/>
              <w:numPr>
                <w:ilvl w:val="0"/>
                <w:numId w:val="25"/>
              </w:numPr>
              <w:spacing w:after="0" w:line="240" w:lineRule="auto"/>
              <w:ind w:left="714" w:hanging="357"/>
              <w:jc w:val="both"/>
            </w:pPr>
            <w:r>
              <w:t>prezentācij</w:t>
            </w:r>
            <w:r w:rsidR="00775878">
              <w:t>as</w:t>
            </w:r>
            <w:r>
              <w:t xml:space="preserve"> elektroniskā formātā</w:t>
            </w:r>
            <w:r w:rsidR="004C62D0">
              <w:t>.</w:t>
            </w:r>
          </w:p>
          <w:p w14:paraId="2EABA624" w14:textId="35E440C6" w:rsidR="00B37342" w:rsidRDefault="00B37342" w:rsidP="007A6A42">
            <w:pPr>
              <w:jc w:val="both"/>
            </w:pPr>
            <w:r>
              <w:t xml:space="preserve">6. </w:t>
            </w:r>
            <w:r w:rsidRPr="003418BD">
              <w:t xml:space="preserve">Iepirkuma procedūras dokumenti </w:t>
            </w:r>
            <w:r>
              <w:t>(ja attiecināms).</w:t>
            </w:r>
          </w:p>
        </w:tc>
      </w:tr>
      <w:tr w:rsidR="002E70D8" w:rsidRPr="00A54805" w14:paraId="6ECDA57B" w14:textId="77777777" w:rsidTr="004C62D0">
        <w:trPr>
          <w:trHeight w:val="113"/>
        </w:trPr>
        <w:tc>
          <w:tcPr>
            <w:tcW w:w="198" w:type="pct"/>
            <w:shd w:val="clear" w:color="auto" w:fill="FFFFFF"/>
          </w:tcPr>
          <w:p w14:paraId="476BAC1C" w14:textId="32AB434E" w:rsidR="002E70D8" w:rsidRDefault="002E70D8" w:rsidP="00E23716">
            <w:pPr>
              <w:jc w:val="center"/>
            </w:pPr>
            <w:r>
              <w:lastRenderedPageBreak/>
              <w:t>5.</w:t>
            </w:r>
          </w:p>
        </w:tc>
        <w:tc>
          <w:tcPr>
            <w:tcW w:w="1796" w:type="pct"/>
          </w:tcPr>
          <w:p w14:paraId="0C7CC008" w14:textId="77777777" w:rsidR="002E70D8" w:rsidRDefault="002E70D8" w:rsidP="002E70D8">
            <w:pPr>
              <w:jc w:val="both"/>
            </w:pPr>
            <w:r w:rsidRPr="002E70D8">
              <w:t>Uzskates līdzekļu izgatavošanas izmaksas</w:t>
            </w:r>
          </w:p>
          <w:p w14:paraId="08B68E02" w14:textId="2A6B87D5" w:rsidR="00387721" w:rsidRPr="00387721" w:rsidRDefault="00387721" w:rsidP="002E70D8">
            <w:pPr>
              <w:jc w:val="both"/>
              <w:rPr>
                <w:i/>
                <w:iCs/>
              </w:rPr>
            </w:pPr>
            <w:r w:rsidRPr="00387721">
              <w:rPr>
                <w:b/>
                <w:bCs/>
                <w:i/>
                <w:iCs/>
              </w:rPr>
              <w:t>(tikai MK noteikumu Nr. 84 6.2. apakšpunktā un 6.3. apakšpunktā minētajā aktivitātē)</w:t>
            </w:r>
          </w:p>
        </w:tc>
        <w:tc>
          <w:tcPr>
            <w:tcW w:w="3006" w:type="pct"/>
          </w:tcPr>
          <w:p w14:paraId="7EBE1662" w14:textId="77777777" w:rsidR="00775878" w:rsidRPr="00A54805" w:rsidRDefault="00775878" w:rsidP="00775878">
            <w:pPr>
              <w:jc w:val="both"/>
            </w:pPr>
            <w:r>
              <w:t>1. A</w:t>
            </w:r>
            <w:r w:rsidRPr="00A54805">
              <w:t>r izpildītāju noslēgtais līgums;</w:t>
            </w:r>
          </w:p>
          <w:p w14:paraId="5D6DA3D6" w14:textId="77777777" w:rsidR="00775878" w:rsidRPr="00A54805" w:rsidRDefault="00775878" w:rsidP="00775878">
            <w:pPr>
              <w:jc w:val="both"/>
            </w:pPr>
            <w:r>
              <w:t>2. D</w:t>
            </w:r>
            <w:r w:rsidRPr="00A54805">
              <w:t>arījumu apliecinoši dokumenti</w:t>
            </w:r>
            <w:r w:rsidRPr="00B04AC6">
              <w:rPr>
                <w:vertAlign w:val="superscript"/>
              </w:rPr>
              <w:t>2</w:t>
            </w:r>
            <w:r w:rsidRPr="00A54805">
              <w:t>;</w:t>
            </w:r>
          </w:p>
          <w:p w14:paraId="52333ADB" w14:textId="77777777" w:rsidR="00775878" w:rsidRPr="00A54805" w:rsidRDefault="00775878" w:rsidP="00775878">
            <w:pPr>
              <w:jc w:val="both"/>
            </w:pPr>
            <w:r>
              <w:t>3. P</w:t>
            </w:r>
            <w:r w:rsidRPr="00A54805">
              <w:t>ieņemšanas-nodošanas akti;</w:t>
            </w:r>
          </w:p>
          <w:p w14:paraId="1265D5E7" w14:textId="5067F39A" w:rsidR="00775878" w:rsidRDefault="00775878" w:rsidP="00775878">
            <w:pPr>
              <w:jc w:val="both"/>
            </w:pPr>
            <w:r>
              <w:t>4.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r w:rsidR="00E15DCA">
              <w:t>;</w:t>
            </w:r>
          </w:p>
          <w:p w14:paraId="3B11B108" w14:textId="3EF92AE5" w:rsidR="004C62D0" w:rsidRDefault="004C62D0" w:rsidP="00775878">
            <w:pPr>
              <w:jc w:val="both"/>
            </w:pPr>
            <w:r>
              <w:t>5</w:t>
            </w:r>
            <w:r w:rsidR="00775878">
              <w:t xml:space="preserve">. </w:t>
            </w:r>
            <w:r w:rsidRPr="002E70D8">
              <w:t xml:space="preserve">Uzskates līdzekļu </w:t>
            </w:r>
            <w:r>
              <w:t xml:space="preserve">elektroniskā versija (makets, skice, </w:t>
            </w:r>
            <w:proofErr w:type="spellStart"/>
            <w:r>
              <w:t>u.c</w:t>
            </w:r>
            <w:proofErr w:type="spellEnd"/>
            <w:r>
              <w:t>)</w:t>
            </w:r>
            <w:r w:rsidR="00E15DCA">
              <w:t>;</w:t>
            </w:r>
          </w:p>
          <w:p w14:paraId="7165469E" w14:textId="74D49FB5" w:rsidR="002E70D8" w:rsidRDefault="004C62D0" w:rsidP="00775878">
            <w:pPr>
              <w:jc w:val="both"/>
            </w:pPr>
            <w:r>
              <w:t xml:space="preserve">6. Saturiskā informācija </w:t>
            </w:r>
            <w:proofErr w:type="spellStart"/>
            <w:r w:rsidRPr="00402D2F">
              <w:rPr>
                <w:i/>
                <w:iCs/>
              </w:rPr>
              <w:t>docx</w:t>
            </w:r>
            <w:proofErr w:type="spellEnd"/>
            <w:r>
              <w:t xml:space="preserve"> formātā</w:t>
            </w:r>
            <w:r w:rsidR="00362FFB">
              <w:t>;</w:t>
            </w:r>
          </w:p>
          <w:p w14:paraId="5E72A26A" w14:textId="25681C06" w:rsidR="00362FFB" w:rsidRDefault="00362FFB" w:rsidP="00775878">
            <w:pPr>
              <w:jc w:val="both"/>
            </w:pPr>
            <w:r>
              <w:t xml:space="preserve">7. </w:t>
            </w:r>
            <w:r w:rsidRPr="003418BD">
              <w:t xml:space="preserve">Iepirkuma procedūras dokumenti </w:t>
            </w:r>
            <w:r>
              <w:t>(ja attiecināms).</w:t>
            </w:r>
          </w:p>
        </w:tc>
      </w:tr>
      <w:tr w:rsidR="002E70D8" w:rsidRPr="00A54805" w14:paraId="76BAD339" w14:textId="77777777" w:rsidTr="004C62D0">
        <w:trPr>
          <w:trHeight w:val="113"/>
        </w:trPr>
        <w:tc>
          <w:tcPr>
            <w:tcW w:w="198" w:type="pct"/>
            <w:shd w:val="clear" w:color="auto" w:fill="FFFFFF"/>
          </w:tcPr>
          <w:p w14:paraId="4C37D0EB" w14:textId="49B3B7B2" w:rsidR="002E70D8" w:rsidRDefault="002E70D8" w:rsidP="00E23716">
            <w:pPr>
              <w:jc w:val="center"/>
            </w:pPr>
            <w:r>
              <w:t>6.</w:t>
            </w:r>
          </w:p>
        </w:tc>
        <w:tc>
          <w:tcPr>
            <w:tcW w:w="1796" w:type="pct"/>
          </w:tcPr>
          <w:p w14:paraId="3E8BA38A" w14:textId="77777777" w:rsidR="002E70D8" w:rsidRDefault="002E70D8" w:rsidP="002E70D8">
            <w:pPr>
              <w:jc w:val="both"/>
            </w:pPr>
            <w:r w:rsidRPr="002E70D8">
              <w:t>Sagatavošanas, pārraidīšanas un publicēšanas izmaksas</w:t>
            </w:r>
          </w:p>
          <w:p w14:paraId="6A247550" w14:textId="1A6E93B7" w:rsidR="00387721" w:rsidRPr="00387721" w:rsidRDefault="00387721" w:rsidP="002E70D8">
            <w:pPr>
              <w:jc w:val="both"/>
              <w:rPr>
                <w:i/>
                <w:iCs/>
              </w:rPr>
            </w:pPr>
            <w:r>
              <w:rPr>
                <w:i/>
                <w:iCs/>
              </w:rPr>
              <w:t>N</w:t>
            </w:r>
            <w:r w:rsidRPr="00387721">
              <w:rPr>
                <w:i/>
                <w:iCs/>
              </w:rPr>
              <w:t>oteikumu 6.1. apakšpunktā minēto aktivitāšu  sagatavošanas, pārraidīšanas un publicēšanas izmaksas</w:t>
            </w:r>
          </w:p>
          <w:p w14:paraId="14569F31" w14:textId="341D7139" w:rsidR="00387721" w:rsidRPr="002E70D8" w:rsidRDefault="00387721" w:rsidP="002E70D8">
            <w:pPr>
              <w:jc w:val="both"/>
            </w:pPr>
            <w:r>
              <w:rPr>
                <w:i/>
                <w:iCs/>
              </w:rPr>
              <w:t>N</w:t>
            </w:r>
            <w:r w:rsidRPr="00387721">
              <w:rPr>
                <w:i/>
                <w:iCs/>
              </w:rPr>
              <w:t>oteikumu 6.2.</w:t>
            </w:r>
            <w:r>
              <w:rPr>
                <w:i/>
                <w:iCs/>
              </w:rPr>
              <w:t> </w:t>
            </w:r>
            <w:r w:rsidRPr="00387721">
              <w:rPr>
                <w:i/>
                <w:iCs/>
              </w:rPr>
              <w:t>apakšpunktā minēto aktivitāšu sagatavošanas un publicēšanas izmaksas</w:t>
            </w:r>
          </w:p>
        </w:tc>
        <w:tc>
          <w:tcPr>
            <w:tcW w:w="3006" w:type="pct"/>
          </w:tcPr>
          <w:p w14:paraId="16D6E7AE" w14:textId="77777777" w:rsidR="004C62D0" w:rsidRPr="00A54805" w:rsidRDefault="004C62D0" w:rsidP="004C62D0">
            <w:pPr>
              <w:jc w:val="both"/>
            </w:pPr>
            <w:r>
              <w:t>1. A</w:t>
            </w:r>
            <w:r w:rsidRPr="00A54805">
              <w:t>r izpildītāju noslēgtais līgums;</w:t>
            </w:r>
          </w:p>
          <w:p w14:paraId="4D82ADCA" w14:textId="77777777" w:rsidR="004C62D0" w:rsidRPr="00A54805" w:rsidRDefault="004C62D0" w:rsidP="004C62D0">
            <w:pPr>
              <w:jc w:val="both"/>
            </w:pPr>
            <w:r>
              <w:t>2. D</w:t>
            </w:r>
            <w:r w:rsidRPr="00A54805">
              <w:t>arījumu apliecinoši dokumenti</w:t>
            </w:r>
            <w:r w:rsidRPr="00B04AC6">
              <w:rPr>
                <w:vertAlign w:val="superscript"/>
              </w:rPr>
              <w:t>2</w:t>
            </w:r>
            <w:r w:rsidRPr="00A54805">
              <w:t>;</w:t>
            </w:r>
          </w:p>
          <w:p w14:paraId="29520556" w14:textId="77777777" w:rsidR="004C62D0" w:rsidRPr="00A54805" w:rsidRDefault="004C62D0" w:rsidP="004C62D0">
            <w:pPr>
              <w:jc w:val="both"/>
            </w:pPr>
            <w:r>
              <w:t>3. P</w:t>
            </w:r>
            <w:r w:rsidRPr="00A54805">
              <w:t>ieņemšanas-nodošanas akti;</w:t>
            </w:r>
          </w:p>
          <w:p w14:paraId="4AA37DBF" w14:textId="63FCCE0E" w:rsidR="004C62D0" w:rsidRDefault="004C62D0" w:rsidP="004C62D0">
            <w:pPr>
              <w:jc w:val="both"/>
            </w:pPr>
            <w:r>
              <w:t>4.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r w:rsidR="00E15DCA">
              <w:t>;</w:t>
            </w:r>
          </w:p>
          <w:p w14:paraId="671E0058" w14:textId="361FCA20" w:rsidR="002E70D8" w:rsidRDefault="004C62D0" w:rsidP="004C62D0">
            <w:pPr>
              <w:jc w:val="both"/>
            </w:pPr>
            <w:r>
              <w:t>5. Raidījuma ieraksts vai saite uz raidījuma ierakstu vai publicētā materiāla elektroniskā izdruka pdf formātā</w:t>
            </w:r>
            <w:r w:rsidR="00E15DCA">
              <w:t>;</w:t>
            </w:r>
          </w:p>
          <w:p w14:paraId="07AF5B7F" w14:textId="77777777" w:rsidR="004C62D0" w:rsidRDefault="004C62D0" w:rsidP="004C62D0">
            <w:pPr>
              <w:jc w:val="both"/>
            </w:pPr>
            <w:r>
              <w:t xml:space="preserve">6. Saturiskā informācija </w:t>
            </w:r>
            <w:proofErr w:type="spellStart"/>
            <w:r w:rsidRPr="00402D2F">
              <w:rPr>
                <w:i/>
                <w:iCs/>
              </w:rPr>
              <w:t>docx</w:t>
            </w:r>
            <w:proofErr w:type="spellEnd"/>
            <w:r>
              <w:t xml:space="preserve"> formātā.</w:t>
            </w:r>
          </w:p>
          <w:p w14:paraId="6A11C43E" w14:textId="5E9F5DB5" w:rsidR="00C404D9" w:rsidRDefault="00C404D9" w:rsidP="004C62D0">
            <w:pPr>
              <w:jc w:val="both"/>
            </w:pPr>
            <w:r w:rsidRPr="005F5A69">
              <w:t>7. Sasniegtās mērķauditorijas pamatojums (dalībnieku saraksts; sociālo tīklu platformas unikālo sekotāju skait</w:t>
            </w:r>
            <w:r w:rsidR="007A6A42" w:rsidRPr="005F5A69">
              <w:t>a</w:t>
            </w:r>
            <w:r w:rsidRPr="005F5A69">
              <w:t xml:space="preserve"> (neietver automatizētos robotus)</w:t>
            </w:r>
            <w:r w:rsidR="007A6A42" w:rsidRPr="005F5A69">
              <w:t xml:space="preserve"> uzskaites izdruka</w:t>
            </w:r>
            <w:r w:rsidRPr="005F5A69">
              <w:t>; tīmekļvietnes unikālo apmeklētāju skait</w:t>
            </w:r>
            <w:r w:rsidR="007A6A42" w:rsidRPr="005F5A69">
              <w:t>a</w:t>
            </w:r>
            <w:r w:rsidRPr="005F5A69">
              <w:t xml:space="preserve"> mēnesī (neietver automatizētos robotus)</w:t>
            </w:r>
            <w:r w:rsidR="007A6A42" w:rsidRPr="005F5A69">
              <w:t xml:space="preserve"> statistikas izdruka</w:t>
            </w:r>
            <w:r w:rsidRPr="005F5A69">
              <w:t xml:space="preserve">; </w:t>
            </w:r>
            <w:r w:rsidR="006C0208" w:rsidRPr="005F5A69">
              <w:t>masu informācijas līdzekļa klausītāju vai skatītāju skaits mēnesī</w:t>
            </w:r>
            <w:r w:rsidR="005F5A69" w:rsidRPr="005F5A69">
              <w:t xml:space="preserve"> (pētījuma dati)</w:t>
            </w:r>
            <w:r w:rsidR="006C0208" w:rsidRPr="005F5A69">
              <w:t>, preses izdevumu tirāžas dati mēnesī</w:t>
            </w:r>
            <w:r w:rsidRPr="005F5A69">
              <w:t>)</w:t>
            </w:r>
            <w:r w:rsidR="005F5A69">
              <w:t>;</w:t>
            </w:r>
          </w:p>
          <w:p w14:paraId="5A25C9C8" w14:textId="24527EED" w:rsidR="002B743C" w:rsidRDefault="002B743C" w:rsidP="004C62D0">
            <w:pPr>
              <w:jc w:val="both"/>
            </w:pPr>
            <w:r>
              <w:t xml:space="preserve">8. </w:t>
            </w:r>
            <w:r w:rsidRPr="003418BD">
              <w:t xml:space="preserve">Iepirkuma procedūras dokumenti </w:t>
            </w:r>
            <w:r>
              <w:t>(ja attiecināms).</w:t>
            </w:r>
          </w:p>
        </w:tc>
      </w:tr>
      <w:tr w:rsidR="002E70D8" w:rsidRPr="00A54805" w14:paraId="18B7AAC7" w14:textId="77777777" w:rsidTr="004C62D0">
        <w:trPr>
          <w:trHeight w:val="113"/>
        </w:trPr>
        <w:tc>
          <w:tcPr>
            <w:tcW w:w="198" w:type="pct"/>
            <w:shd w:val="clear" w:color="auto" w:fill="FFFFFF"/>
          </w:tcPr>
          <w:p w14:paraId="2C4CD2EF" w14:textId="6E196690" w:rsidR="002E70D8" w:rsidRDefault="002E70D8" w:rsidP="00E23716">
            <w:pPr>
              <w:jc w:val="center"/>
            </w:pPr>
            <w:r>
              <w:t>7.</w:t>
            </w:r>
          </w:p>
        </w:tc>
        <w:tc>
          <w:tcPr>
            <w:tcW w:w="1796" w:type="pct"/>
          </w:tcPr>
          <w:p w14:paraId="2D28E1A8" w14:textId="77777777" w:rsidR="002E70D8" w:rsidRDefault="002E70D8" w:rsidP="002E70D8">
            <w:pPr>
              <w:jc w:val="both"/>
            </w:pPr>
            <w:r w:rsidRPr="002E70D8">
              <w:t>Materiālu un mazvērtīgā inventāra izmaksas</w:t>
            </w:r>
          </w:p>
          <w:p w14:paraId="62BD49AE" w14:textId="47E46F00" w:rsidR="00387721" w:rsidRPr="00387721" w:rsidRDefault="00387721" w:rsidP="00387721">
            <w:pPr>
              <w:jc w:val="both"/>
              <w:rPr>
                <w:b/>
                <w:bCs/>
                <w:i/>
                <w:iCs/>
              </w:rPr>
            </w:pPr>
            <w:r w:rsidRPr="00387721">
              <w:rPr>
                <w:b/>
                <w:bCs/>
                <w:i/>
                <w:iCs/>
              </w:rPr>
              <w:t>Nepārsniedz 2</w:t>
            </w:r>
            <w:r>
              <w:rPr>
                <w:b/>
                <w:bCs/>
                <w:i/>
                <w:iCs/>
              </w:rPr>
              <w:t> </w:t>
            </w:r>
            <w:r w:rsidRPr="00387721">
              <w:rPr>
                <w:b/>
                <w:bCs/>
                <w:i/>
                <w:iCs/>
              </w:rPr>
              <w:t>% no projekta kopējām attiecināmajām izmaksām</w:t>
            </w:r>
            <w:r>
              <w:rPr>
                <w:b/>
                <w:bCs/>
                <w:i/>
                <w:iCs/>
              </w:rPr>
              <w:t>.</w:t>
            </w:r>
          </w:p>
          <w:p w14:paraId="108A4B6D" w14:textId="77777777" w:rsidR="00387721" w:rsidRDefault="00387721" w:rsidP="002E70D8">
            <w:pPr>
              <w:jc w:val="both"/>
              <w:rPr>
                <w:i/>
                <w:iCs/>
              </w:rPr>
            </w:pPr>
            <w:r>
              <w:rPr>
                <w:i/>
                <w:iCs/>
              </w:rPr>
              <w:t>Tai skaitā b</w:t>
            </w:r>
            <w:r w:rsidRPr="00387721">
              <w:rPr>
                <w:i/>
                <w:iCs/>
              </w:rPr>
              <w:t>iroja kancelejas preces, izmaksas, kas nepieciešamas projekta mērķa sasniegšanai</w:t>
            </w:r>
            <w:r>
              <w:rPr>
                <w:i/>
                <w:iCs/>
              </w:rPr>
              <w:t>, j</w:t>
            </w:r>
            <w:r w:rsidRPr="00387721">
              <w:rPr>
                <w:i/>
                <w:iCs/>
              </w:rPr>
              <w:t>a tās atbilst vidējām tirgus cenām un to iegāde ir nepieciešama projekta mērķu sasniegšanai.</w:t>
            </w:r>
          </w:p>
          <w:p w14:paraId="1A44D798" w14:textId="1E5C6FB0" w:rsidR="00BC7CD0" w:rsidRPr="00387721" w:rsidRDefault="00BC7CD0" w:rsidP="00BC7CD0">
            <w:pPr>
              <w:jc w:val="both"/>
              <w:rPr>
                <w:i/>
                <w:iCs/>
              </w:rPr>
            </w:pPr>
            <w:r>
              <w:rPr>
                <w:i/>
                <w:iCs/>
              </w:rPr>
              <w:lastRenderedPageBreak/>
              <w:t xml:space="preserve">Neattiecināmās izmaksas: </w:t>
            </w:r>
            <w:r w:rsidRPr="00BC7CD0">
              <w:rPr>
                <w:i/>
                <w:iCs/>
              </w:rPr>
              <w:t>tehnikas iegāde (</w:t>
            </w:r>
            <w:r>
              <w:rPr>
                <w:i/>
                <w:iCs/>
              </w:rPr>
              <w:t>pamatlīdzekļi</w:t>
            </w:r>
            <w:r w:rsidRPr="00BC7CD0">
              <w:rPr>
                <w:i/>
                <w:iCs/>
              </w:rPr>
              <w:t>)</w:t>
            </w:r>
            <w:r>
              <w:rPr>
                <w:i/>
                <w:iCs/>
              </w:rPr>
              <w:t>, b</w:t>
            </w:r>
            <w:r w:rsidRPr="00BC7CD0">
              <w:rPr>
                <w:i/>
                <w:iCs/>
              </w:rPr>
              <w:t>alvas</w:t>
            </w:r>
            <w:r w:rsidR="002B743C">
              <w:rPr>
                <w:i/>
                <w:iCs/>
              </w:rPr>
              <w:t>.</w:t>
            </w:r>
          </w:p>
        </w:tc>
        <w:tc>
          <w:tcPr>
            <w:tcW w:w="3006" w:type="pct"/>
          </w:tcPr>
          <w:p w14:paraId="673C3CF8" w14:textId="586D2309" w:rsidR="004C62D0" w:rsidRPr="00A54805" w:rsidRDefault="004C62D0" w:rsidP="004C62D0">
            <w:pPr>
              <w:jc w:val="both"/>
            </w:pPr>
            <w:r>
              <w:lastRenderedPageBreak/>
              <w:t>1. A</w:t>
            </w:r>
            <w:r w:rsidRPr="00A54805">
              <w:t>r izpildītāju noslēgtais līgums</w:t>
            </w:r>
            <w:r>
              <w:t xml:space="preserve"> (ja attiecināms)</w:t>
            </w:r>
            <w:r w:rsidRPr="00A54805">
              <w:t>;</w:t>
            </w:r>
          </w:p>
          <w:p w14:paraId="0CFBEB36" w14:textId="77777777" w:rsidR="004C62D0" w:rsidRPr="00A54805" w:rsidRDefault="004C62D0" w:rsidP="004C62D0">
            <w:pPr>
              <w:jc w:val="both"/>
            </w:pPr>
            <w:r>
              <w:t>2. D</w:t>
            </w:r>
            <w:r w:rsidRPr="00A54805">
              <w:t>arījumu apliecinoši dokumenti</w:t>
            </w:r>
            <w:r w:rsidRPr="00B04AC6">
              <w:rPr>
                <w:vertAlign w:val="superscript"/>
              </w:rPr>
              <w:t>2</w:t>
            </w:r>
            <w:r w:rsidRPr="00A54805">
              <w:t>;</w:t>
            </w:r>
          </w:p>
          <w:p w14:paraId="377B266C" w14:textId="551BD3E5" w:rsidR="004C62D0" w:rsidRPr="00A54805" w:rsidRDefault="004C62D0" w:rsidP="004C62D0">
            <w:pPr>
              <w:jc w:val="both"/>
            </w:pPr>
            <w:r>
              <w:t>3. P</w:t>
            </w:r>
            <w:r w:rsidRPr="00A54805">
              <w:t>ieņemšanas-nodošanas akti</w:t>
            </w:r>
            <w:r>
              <w:t xml:space="preserve"> (ja attiecināms)</w:t>
            </w:r>
            <w:r w:rsidRPr="00A54805">
              <w:t>;</w:t>
            </w:r>
          </w:p>
          <w:p w14:paraId="5E0FA19B" w14:textId="72C6F8E8" w:rsidR="002E70D8" w:rsidRDefault="004C62D0" w:rsidP="00775878">
            <w:pPr>
              <w:jc w:val="both"/>
            </w:pPr>
            <w:r>
              <w:t>4.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p>
        </w:tc>
      </w:tr>
      <w:tr w:rsidR="002E70D8" w:rsidRPr="00A54805" w14:paraId="2553E42D" w14:textId="77777777" w:rsidTr="004C62D0">
        <w:trPr>
          <w:trHeight w:val="113"/>
        </w:trPr>
        <w:tc>
          <w:tcPr>
            <w:tcW w:w="198" w:type="pct"/>
            <w:shd w:val="clear" w:color="auto" w:fill="FFFFFF"/>
          </w:tcPr>
          <w:p w14:paraId="46660A5D" w14:textId="3039EA0C" w:rsidR="002E70D8" w:rsidRDefault="002E70D8" w:rsidP="00E23716">
            <w:pPr>
              <w:jc w:val="center"/>
            </w:pPr>
            <w:r>
              <w:t>8.</w:t>
            </w:r>
          </w:p>
        </w:tc>
        <w:tc>
          <w:tcPr>
            <w:tcW w:w="1796" w:type="pct"/>
          </w:tcPr>
          <w:p w14:paraId="4CBA5B15" w14:textId="4E7AD6DA" w:rsidR="002E70D8" w:rsidRDefault="002E70D8" w:rsidP="002E70D8">
            <w:pPr>
              <w:jc w:val="both"/>
            </w:pPr>
            <w:r w:rsidRPr="002E70D8">
              <w:t>Transporta izmaksas</w:t>
            </w:r>
            <w:r w:rsidR="00C91A18">
              <w:t>/ komandējumu izmaksas</w:t>
            </w:r>
          </w:p>
          <w:p w14:paraId="52BB5FAD" w14:textId="642C9EC1" w:rsidR="00387721" w:rsidRPr="00387721" w:rsidRDefault="00387721" w:rsidP="00387721">
            <w:pPr>
              <w:jc w:val="both"/>
              <w:rPr>
                <w:b/>
                <w:bCs/>
                <w:i/>
                <w:iCs/>
              </w:rPr>
            </w:pPr>
            <w:r w:rsidRPr="00387721">
              <w:rPr>
                <w:b/>
                <w:bCs/>
                <w:i/>
                <w:iCs/>
              </w:rPr>
              <w:t xml:space="preserve">Nepārsniedz </w:t>
            </w:r>
            <w:r>
              <w:rPr>
                <w:b/>
                <w:bCs/>
                <w:i/>
                <w:iCs/>
              </w:rPr>
              <w:t>1</w:t>
            </w:r>
            <w:r w:rsidRPr="00387721">
              <w:rPr>
                <w:b/>
                <w:bCs/>
                <w:i/>
                <w:iCs/>
              </w:rPr>
              <w:t>0</w:t>
            </w:r>
            <w:r>
              <w:rPr>
                <w:b/>
                <w:bCs/>
                <w:i/>
                <w:iCs/>
              </w:rPr>
              <w:t> </w:t>
            </w:r>
            <w:r w:rsidRPr="00387721">
              <w:rPr>
                <w:b/>
                <w:bCs/>
                <w:i/>
                <w:iCs/>
              </w:rPr>
              <w:t>% no projekta kopējām attiecināmajām izmaksām</w:t>
            </w:r>
            <w:r>
              <w:rPr>
                <w:b/>
                <w:bCs/>
                <w:i/>
                <w:iCs/>
              </w:rPr>
              <w:t>.</w:t>
            </w:r>
          </w:p>
          <w:p w14:paraId="2AA54F23" w14:textId="77777777" w:rsidR="00387721" w:rsidRDefault="00387721" w:rsidP="002E70D8">
            <w:pPr>
              <w:jc w:val="both"/>
              <w:rPr>
                <w:b/>
                <w:bCs/>
                <w:i/>
                <w:iCs/>
              </w:rPr>
            </w:pPr>
            <w:r w:rsidRPr="00387721">
              <w:rPr>
                <w:b/>
                <w:bCs/>
                <w:i/>
                <w:iCs/>
              </w:rPr>
              <w:t>(tikai MK noteikumu Nr. 84 6.3. apakšpunktā minētajā aktivitātē)</w:t>
            </w:r>
          </w:p>
          <w:p w14:paraId="1CC895A4" w14:textId="5F0B537C" w:rsidR="00387721" w:rsidRDefault="00387721" w:rsidP="002E70D8">
            <w:pPr>
              <w:jc w:val="both"/>
              <w:rPr>
                <w:i/>
                <w:iCs/>
              </w:rPr>
            </w:pPr>
            <w:r w:rsidRPr="00387721">
              <w:rPr>
                <w:i/>
                <w:iCs/>
              </w:rPr>
              <w:t>Finansējuma saņēmējs ievēro normatīvajos aktos noteikto kārtību, kādā atlīdzināmi</w:t>
            </w:r>
            <w:r w:rsidR="00C91A18">
              <w:rPr>
                <w:i/>
                <w:iCs/>
              </w:rPr>
              <w:t xml:space="preserve"> ar</w:t>
            </w:r>
            <w:r w:rsidR="00C91A18">
              <w:t xml:space="preserve"> </w:t>
            </w:r>
            <w:r w:rsidR="00C91A18" w:rsidRPr="00C91A18">
              <w:rPr>
                <w:i/>
                <w:iCs/>
              </w:rPr>
              <w:t>projekta īstenošanai nepieciešamo iekšzemes komandējumu vai darba braucienu izmaksas</w:t>
            </w:r>
            <w:r w:rsidR="005E47D1">
              <w:rPr>
                <w:i/>
                <w:iCs/>
              </w:rPr>
              <w:t>.</w:t>
            </w:r>
          </w:p>
          <w:p w14:paraId="53A870A5" w14:textId="05383D7F" w:rsidR="00E51ABB" w:rsidRPr="00BC7CD0" w:rsidRDefault="00E51ABB" w:rsidP="00BC7CD0">
            <w:pPr>
              <w:jc w:val="both"/>
              <w:rPr>
                <w:i/>
                <w:iCs/>
              </w:rPr>
            </w:pPr>
            <w:r>
              <w:rPr>
                <w:i/>
                <w:iCs/>
                <w:sz w:val="22"/>
                <w:szCs w:val="22"/>
              </w:rPr>
              <w:t>Transporta izmaksas ir attiecināmas tikai Latvijas republikas teritorijā.</w:t>
            </w:r>
          </w:p>
        </w:tc>
        <w:tc>
          <w:tcPr>
            <w:tcW w:w="3006" w:type="pct"/>
          </w:tcPr>
          <w:p w14:paraId="392FDF14" w14:textId="347890C7" w:rsidR="004C62D0" w:rsidRPr="00A54805" w:rsidRDefault="004C62D0" w:rsidP="004C62D0">
            <w:pPr>
              <w:jc w:val="both"/>
            </w:pPr>
            <w:r>
              <w:t>1. A</w:t>
            </w:r>
            <w:r w:rsidRPr="00A54805">
              <w:t>r izpildītāju noslēgtais līgums</w:t>
            </w:r>
            <w:r>
              <w:t xml:space="preserve"> </w:t>
            </w:r>
            <w:r w:rsidRPr="004C62D0">
              <w:t>par transport</w:t>
            </w:r>
            <w:r>
              <w:t>līdzekļa</w:t>
            </w:r>
            <w:r w:rsidRPr="004C62D0">
              <w:t xml:space="preserve"> nomu </w:t>
            </w:r>
            <w:r>
              <w:t>(ja attiecināms)</w:t>
            </w:r>
            <w:r w:rsidRPr="00A54805">
              <w:t>;</w:t>
            </w:r>
          </w:p>
          <w:p w14:paraId="7C8DCF24" w14:textId="77777777" w:rsidR="004C62D0" w:rsidRPr="00A54805" w:rsidRDefault="004C62D0" w:rsidP="004C62D0">
            <w:pPr>
              <w:jc w:val="both"/>
            </w:pPr>
            <w:r>
              <w:t>2. D</w:t>
            </w:r>
            <w:r w:rsidRPr="00A54805">
              <w:t>arījumu apliecinoši dokumenti</w:t>
            </w:r>
            <w:r w:rsidRPr="00B04AC6">
              <w:rPr>
                <w:vertAlign w:val="superscript"/>
              </w:rPr>
              <w:t>2</w:t>
            </w:r>
            <w:r w:rsidRPr="00A54805">
              <w:t>;</w:t>
            </w:r>
          </w:p>
          <w:p w14:paraId="67507FDA" w14:textId="77777777" w:rsidR="004C62D0" w:rsidRPr="00A54805" w:rsidRDefault="004C62D0" w:rsidP="004C62D0">
            <w:pPr>
              <w:jc w:val="both"/>
            </w:pPr>
            <w:r>
              <w:t>3. P</w:t>
            </w:r>
            <w:r w:rsidRPr="00A54805">
              <w:t>ieņemšanas-nodošanas akti</w:t>
            </w:r>
            <w:r>
              <w:t xml:space="preserve"> (ja attiecināms)</w:t>
            </w:r>
            <w:r w:rsidRPr="00A54805">
              <w:t>;</w:t>
            </w:r>
          </w:p>
          <w:p w14:paraId="7CDE0350" w14:textId="73F0F793" w:rsidR="00387721" w:rsidRDefault="004C62D0" w:rsidP="00387721">
            <w:pPr>
              <w:jc w:val="both"/>
            </w:pPr>
            <w:r>
              <w:t>4</w:t>
            </w:r>
            <w:r w:rsidR="00387721">
              <w:t>. Transporta ceļazīme vai maršruta lapa</w:t>
            </w:r>
            <w:r>
              <w:t>;</w:t>
            </w:r>
          </w:p>
          <w:p w14:paraId="6C321CF4" w14:textId="1E3EDB2D" w:rsidR="00387721" w:rsidRDefault="004C62D0" w:rsidP="005F5A69">
            <w:pPr>
              <w:jc w:val="both"/>
            </w:pPr>
            <w:r>
              <w:t>5</w:t>
            </w:r>
            <w:r w:rsidR="00387721">
              <w:t>. Rīkojums</w:t>
            </w:r>
            <w:r w:rsidR="00E51ABB">
              <w:t xml:space="preserve"> par komandējumu</w:t>
            </w:r>
            <w:r>
              <w:t>;</w:t>
            </w:r>
          </w:p>
          <w:p w14:paraId="2CB9BB95" w14:textId="094876F7" w:rsidR="00387721" w:rsidRDefault="004C62D0" w:rsidP="00387721">
            <w:pPr>
              <w:jc w:val="both"/>
            </w:pPr>
            <w:r>
              <w:t>6</w:t>
            </w:r>
            <w:r w:rsidR="00387721">
              <w:t>. Avansa norēķins ar pievienotajiem dokumentiem (degvielas čekiem</w:t>
            </w:r>
            <w:r w:rsidR="00B121E5">
              <w:t xml:space="preserve">, </w:t>
            </w:r>
            <w:r w:rsidR="005F5A69">
              <w:t>transporta biļetes, auto noma u.c.</w:t>
            </w:r>
            <w:r w:rsidR="00387721">
              <w:t>)</w:t>
            </w:r>
            <w:r>
              <w:t>;</w:t>
            </w:r>
          </w:p>
          <w:p w14:paraId="4ED46DC0" w14:textId="509314F2" w:rsidR="00B121E5" w:rsidRDefault="005F5A69" w:rsidP="005F5A69">
            <w:pPr>
              <w:jc w:val="both"/>
            </w:pPr>
            <w:r>
              <w:t xml:space="preserve">7. </w:t>
            </w:r>
            <w:r w:rsidR="00B121E5" w:rsidRPr="00B121E5">
              <w:t>Komandējuma atskaite</w:t>
            </w:r>
            <w:r w:rsidR="00B121E5">
              <w:t>;</w:t>
            </w:r>
          </w:p>
          <w:p w14:paraId="7418C715" w14:textId="0B2F1F0E" w:rsidR="005F5A69" w:rsidRDefault="005F5A69" w:rsidP="005F5A69">
            <w:pPr>
              <w:jc w:val="both"/>
            </w:pPr>
            <w:r>
              <w:t>8. P</w:t>
            </w:r>
            <w:r w:rsidRPr="00A54805">
              <w:t xml:space="preserve">rojekta </w:t>
            </w:r>
            <w:r>
              <w:t xml:space="preserve">bankas </w:t>
            </w:r>
            <w:r w:rsidRPr="00A54805">
              <w:t>konta apgrozījuma izdruka</w:t>
            </w:r>
            <w:r w:rsidRPr="00B04AC6">
              <w:rPr>
                <w:vertAlign w:val="superscript"/>
              </w:rPr>
              <w:t>3</w:t>
            </w:r>
            <w:r w:rsidRPr="00A54805">
              <w:t xml:space="preserve"> par pārskata periodu</w:t>
            </w:r>
            <w:r>
              <w:t>;</w:t>
            </w:r>
          </w:p>
          <w:p w14:paraId="1A1A6C4A" w14:textId="77777777" w:rsidR="00B121E5" w:rsidRDefault="005F5A69" w:rsidP="005F5A69">
            <w:pPr>
              <w:jc w:val="both"/>
            </w:pPr>
            <w:r>
              <w:t xml:space="preserve">9. </w:t>
            </w:r>
            <w:r w:rsidR="00B121E5" w:rsidRPr="00B121E5">
              <w:t xml:space="preserve">Iepirkuma procedūras dokumenti </w:t>
            </w:r>
            <w:r w:rsidR="003418BD">
              <w:t>(ja attiecināms)</w:t>
            </w:r>
            <w:r w:rsidR="00402D2F">
              <w:t>;</w:t>
            </w:r>
          </w:p>
          <w:p w14:paraId="7FF64221" w14:textId="538A69E3" w:rsidR="00402D2F" w:rsidRDefault="00402D2F" w:rsidP="005F5A69">
            <w:pPr>
              <w:jc w:val="both"/>
            </w:pPr>
            <w:r w:rsidRPr="00402D2F">
              <w:t>10. Finansējuma saņēmēja apstiprinātā degvielas patēriņa norma (ja attiecināms)</w:t>
            </w:r>
            <w:r>
              <w:t>.</w:t>
            </w:r>
          </w:p>
        </w:tc>
      </w:tr>
      <w:tr w:rsidR="00C52356" w:rsidRPr="00A54805" w14:paraId="12D70B31" w14:textId="77777777" w:rsidTr="004C62D0">
        <w:trPr>
          <w:trHeight w:val="113"/>
        </w:trPr>
        <w:tc>
          <w:tcPr>
            <w:tcW w:w="198" w:type="pct"/>
            <w:shd w:val="clear" w:color="auto" w:fill="FFFFFF"/>
          </w:tcPr>
          <w:p w14:paraId="70C813E8" w14:textId="1C4AE7AF" w:rsidR="00C52356" w:rsidRPr="00A54805" w:rsidRDefault="00E15DCA" w:rsidP="00C52356">
            <w:pPr>
              <w:jc w:val="center"/>
            </w:pPr>
            <w:r>
              <w:t>9</w:t>
            </w:r>
            <w:r w:rsidR="00C52356" w:rsidRPr="00A54805">
              <w:t>.</w:t>
            </w:r>
          </w:p>
        </w:tc>
        <w:tc>
          <w:tcPr>
            <w:tcW w:w="1796" w:type="pct"/>
          </w:tcPr>
          <w:p w14:paraId="46B0AE41" w14:textId="7C8B3E27" w:rsidR="00C52356" w:rsidRPr="00A54805" w:rsidRDefault="00E15DCA" w:rsidP="00E15DCA">
            <w:pPr>
              <w:jc w:val="both"/>
            </w:pPr>
            <w:r>
              <w:t>P</w:t>
            </w:r>
            <w:r w:rsidR="00C52356" w:rsidRPr="00A54805">
              <w:t>ievienotās vērtības nodokļa maksājumi, ja tie nav atgūstami no valsts budžeta</w:t>
            </w:r>
          </w:p>
        </w:tc>
        <w:tc>
          <w:tcPr>
            <w:tcW w:w="3006" w:type="pct"/>
          </w:tcPr>
          <w:p w14:paraId="0319E0F0" w14:textId="1A09DF2D" w:rsidR="00C52356" w:rsidRPr="00A54805" w:rsidRDefault="00B04AC6" w:rsidP="00B04AC6">
            <w:pPr>
              <w:jc w:val="both"/>
            </w:pPr>
            <w:r>
              <w:t xml:space="preserve">1. </w:t>
            </w:r>
            <w:r w:rsidR="00C52356" w:rsidRPr="00A54805">
              <w:t>pievienotās vērtības nodokļa (turpmāk – PVN) deklarācija</w:t>
            </w:r>
            <w:r w:rsidR="00C52356" w:rsidRPr="00B04AC6">
              <w:rPr>
                <w:vertAlign w:val="superscript"/>
              </w:rPr>
              <w:t>4</w:t>
            </w:r>
            <w:r w:rsidR="00C52356" w:rsidRPr="00A54805">
              <w:t xml:space="preserve">, ja PVN maksājumi ir iekļauti projekta attiecināmajās izmaksās un PVN tiek maksāts saskaņā ar </w:t>
            </w:r>
            <w:hyperlink r:id="rId8" w:anchor="p142" w:history="1">
              <w:r w:rsidR="00C52356" w:rsidRPr="00A54805">
                <w:rPr>
                  <w:rStyle w:val="Hyperlink"/>
                </w:rPr>
                <w:t>Pievienotās vērtības nodokļa likuma 142. pantu</w:t>
              </w:r>
            </w:hyperlink>
          </w:p>
        </w:tc>
      </w:tr>
    </w:tbl>
    <w:p w14:paraId="00724B33" w14:textId="77777777" w:rsidR="00A97C3C" w:rsidRPr="00FE3358" w:rsidRDefault="00BD1BB6" w:rsidP="00A97C3C">
      <w:pPr>
        <w:pStyle w:val="ListParagraph"/>
        <w:ind w:left="0"/>
        <w:jc w:val="both"/>
        <w:rPr>
          <w:b/>
          <w:sz w:val="20"/>
          <w:szCs w:val="20"/>
        </w:rPr>
      </w:pPr>
      <w:r w:rsidRPr="00FE3358">
        <w:rPr>
          <w:b/>
          <w:sz w:val="20"/>
          <w:szCs w:val="20"/>
        </w:rPr>
        <w:t>Piezīmes:</w:t>
      </w:r>
    </w:p>
    <w:p w14:paraId="3BBBA4A4" w14:textId="641BAD03" w:rsidR="00A97C3C" w:rsidRPr="00FE3358" w:rsidRDefault="00A97C3C" w:rsidP="00E313DB">
      <w:pPr>
        <w:pStyle w:val="ListParagraph"/>
        <w:ind w:left="0"/>
        <w:jc w:val="both"/>
        <w:rPr>
          <w:sz w:val="20"/>
          <w:szCs w:val="20"/>
        </w:rPr>
      </w:pPr>
      <w:r w:rsidRPr="00FE3358">
        <w:rPr>
          <w:sz w:val="20"/>
          <w:szCs w:val="20"/>
          <w:vertAlign w:val="superscript"/>
        </w:rPr>
        <w:t>1</w:t>
      </w:r>
      <w:r w:rsidRPr="00FE3358">
        <w:rPr>
          <w:sz w:val="20"/>
          <w:szCs w:val="20"/>
        </w:rPr>
        <w:t xml:space="preserve"> </w:t>
      </w:r>
      <w:r w:rsidR="004764AB" w:rsidRPr="004764AB">
        <w:rPr>
          <w:sz w:val="20"/>
          <w:szCs w:val="20"/>
        </w:rPr>
        <w:t>Vides investīciju fondā iesniedz Attiecināmo izmaksu apliecinošo dokumentu kopijas, nevis oriģinālus vai norāda saiti uz tīmekļa vietni, kur ir pieejami dokumenti (publiski vai nosūtot pieejas datus).</w:t>
      </w:r>
    </w:p>
    <w:p w14:paraId="28A7FB80" w14:textId="4C0C9701" w:rsidR="00A97C3C" w:rsidRPr="00FE3358" w:rsidRDefault="00A97C3C" w:rsidP="00E313DB">
      <w:pPr>
        <w:pStyle w:val="ListParagraph"/>
        <w:ind w:left="0"/>
        <w:jc w:val="both"/>
        <w:rPr>
          <w:sz w:val="20"/>
          <w:szCs w:val="20"/>
        </w:rPr>
      </w:pPr>
      <w:r w:rsidRPr="00FE3358">
        <w:rPr>
          <w:sz w:val="20"/>
          <w:szCs w:val="20"/>
          <w:vertAlign w:val="superscript"/>
        </w:rPr>
        <w:t>2</w:t>
      </w:r>
      <w:r w:rsidRPr="00FE3358">
        <w:rPr>
          <w:sz w:val="20"/>
          <w:szCs w:val="20"/>
        </w:rPr>
        <w:t xml:space="preserve"> </w:t>
      </w:r>
      <w:r w:rsidR="00A54805">
        <w:rPr>
          <w:sz w:val="20"/>
          <w:szCs w:val="20"/>
        </w:rPr>
        <w:t>d</w:t>
      </w:r>
      <w:r w:rsidRPr="00FE3358">
        <w:rPr>
          <w:sz w:val="20"/>
          <w:szCs w:val="20"/>
        </w:rPr>
        <w:t xml:space="preserve">arījumu apliecinošs dokuments </w:t>
      </w:r>
      <w:r w:rsidR="00DC5385" w:rsidRPr="00FE3358">
        <w:rPr>
          <w:sz w:val="20"/>
          <w:szCs w:val="20"/>
        </w:rPr>
        <w:t>ir</w:t>
      </w:r>
      <w:r w:rsidRPr="00FE3358">
        <w:rPr>
          <w:sz w:val="20"/>
          <w:szCs w:val="20"/>
        </w:rPr>
        <w:t xml:space="preserve"> rēķins, faktūrrēķins, preču pavadzīme-rēķins</w:t>
      </w:r>
      <w:r w:rsidR="00DC5385" w:rsidRPr="00FE3358">
        <w:rPr>
          <w:sz w:val="20"/>
          <w:szCs w:val="20"/>
        </w:rPr>
        <w:t xml:space="preserve"> </w:t>
      </w:r>
      <w:r w:rsidR="001C37F8">
        <w:rPr>
          <w:sz w:val="20"/>
          <w:szCs w:val="20"/>
        </w:rPr>
        <w:t>un citus</w:t>
      </w:r>
      <w:r w:rsidR="00DC5385" w:rsidRPr="00FE3358">
        <w:rPr>
          <w:sz w:val="20"/>
          <w:szCs w:val="20"/>
        </w:rPr>
        <w:t>.</w:t>
      </w:r>
      <w:r w:rsidR="001C37F8">
        <w:rPr>
          <w:sz w:val="20"/>
          <w:szCs w:val="20"/>
        </w:rPr>
        <w:t xml:space="preserve"> </w:t>
      </w:r>
      <w:r w:rsidR="00E15DCA">
        <w:rPr>
          <w:sz w:val="20"/>
          <w:szCs w:val="20"/>
        </w:rPr>
        <w:t>J</w:t>
      </w:r>
      <w:r w:rsidR="001C37F8" w:rsidRPr="001C37F8">
        <w:rPr>
          <w:sz w:val="20"/>
          <w:szCs w:val="20"/>
        </w:rPr>
        <w:t>ānorāda grāmatvedības kontējums.</w:t>
      </w:r>
    </w:p>
    <w:p w14:paraId="6A9BC7BC" w14:textId="3D66FB19" w:rsidR="002A176B" w:rsidRPr="00FE3358" w:rsidRDefault="00C52356" w:rsidP="00E313DB">
      <w:pPr>
        <w:pStyle w:val="ListParagraph"/>
        <w:ind w:left="0"/>
        <w:jc w:val="both"/>
        <w:rPr>
          <w:sz w:val="20"/>
          <w:szCs w:val="20"/>
        </w:rPr>
      </w:pPr>
      <w:r>
        <w:rPr>
          <w:sz w:val="20"/>
          <w:szCs w:val="20"/>
          <w:vertAlign w:val="superscript"/>
        </w:rPr>
        <w:t>3</w:t>
      </w:r>
      <w:r w:rsidR="002A176B" w:rsidRPr="00FE3358">
        <w:rPr>
          <w:sz w:val="20"/>
          <w:szCs w:val="20"/>
        </w:rPr>
        <w:t xml:space="preserve"> </w:t>
      </w:r>
      <w:r w:rsidR="00A54805">
        <w:rPr>
          <w:sz w:val="20"/>
          <w:szCs w:val="20"/>
        </w:rPr>
        <w:t>i</w:t>
      </w:r>
      <w:r w:rsidR="002A176B" w:rsidRPr="00FE3358">
        <w:rPr>
          <w:sz w:val="20"/>
          <w:szCs w:val="20"/>
        </w:rPr>
        <w:t xml:space="preserve">esniedz kredītiestādes apstiprinātu vai finansējuma saņēmēja, atbilstoši </w:t>
      </w:r>
      <w:hyperlink r:id="rId9" w:anchor="p11" w:history="1">
        <w:r w:rsidR="00A64895" w:rsidRPr="00C52356">
          <w:rPr>
            <w:rStyle w:val="Hyperlink"/>
            <w:sz w:val="20"/>
            <w:szCs w:val="20"/>
          </w:rPr>
          <w:t>Grāmatvedības likum</w:t>
        </w:r>
        <w:r>
          <w:rPr>
            <w:rStyle w:val="Hyperlink"/>
            <w:sz w:val="20"/>
            <w:szCs w:val="20"/>
          </w:rPr>
          <w:t>a</w:t>
        </w:r>
        <w:r w:rsidR="002A176B" w:rsidRPr="00C52356">
          <w:rPr>
            <w:rStyle w:val="Hyperlink"/>
            <w:sz w:val="20"/>
            <w:szCs w:val="20"/>
          </w:rPr>
          <w:t xml:space="preserve"> </w:t>
        </w:r>
        <w:r w:rsidR="00A64895" w:rsidRPr="00C52356">
          <w:rPr>
            <w:rStyle w:val="Hyperlink"/>
            <w:sz w:val="20"/>
            <w:szCs w:val="20"/>
          </w:rPr>
          <w:t>11.</w:t>
        </w:r>
        <w:r w:rsidR="00364F1C" w:rsidRPr="00C52356">
          <w:rPr>
            <w:rStyle w:val="Hyperlink"/>
            <w:sz w:val="20"/>
            <w:szCs w:val="20"/>
          </w:rPr>
          <w:t xml:space="preserve"> </w:t>
        </w:r>
        <w:r w:rsidR="002A176B" w:rsidRPr="00C52356">
          <w:rPr>
            <w:rStyle w:val="Hyperlink"/>
            <w:sz w:val="20"/>
            <w:szCs w:val="20"/>
          </w:rPr>
          <w:t>pant</w:t>
        </w:r>
        <w:r w:rsidR="00A64895" w:rsidRPr="00C52356">
          <w:rPr>
            <w:rStyle w:val="Hyperlink"/>
            <w:sz w:val="20"/>
            <w:szCs w:val="20"/>
          </w:rPr>
          <w:t>am</w:t>
        </w:r>
      </w:hyperlink>
      <w:r w:rsidR="002A176B" w:rsidRPr="00FE3358">
        <w:rPr>
          <w:sz w:val="20"/>
          <w:szCs w:val="20"/>
        </w:rPr>
        <w:t>, apliecinātu konta apgrozījuma izdruku.</w:t>
      </w:r>
    </w:p>
    <w:p w14:paraId="754A63F1" w14:textId="1B30985C" w:rsidR="005563E1" w:rsidRDefault="00C52356" w:rsidP="00E313DB">
      <w:pPr>
        <w:pStyle w:val="ListParagraph"/>
        <w:ind w:left="0"/>
        <w:jc w:val="both"/>
        <w:rPr>
          <w:sz w:val="20"/>
          <w:szCs w:val="20"/>
        </w:rPr>
      </w:pPr>
      <w:r>
        <w:rPr>
          <w:sz w:val="20"/>
          <w:szCs w:val="20"/>
          <w:vertAlign w:val="superscript"/>
        </w:rPr>
        <w:t>4</w:t>
      </w:r>
      <w:r w:rsidR="002A176B" w:rsidRPr="00FE3358">
        <w:rPr>
          <w:sz w:val="20"/>
          <w:szCs w:val="20"/>
        </w:rPr>
        <w:t xml:space="preserve"> </w:t>
      </w:r>
      <w:r w:rsidR="00A54805">
        <w:rPr>
          <w:sz w:val="20"/>
          <w:szCs w:val="20"/>
        </w:rPr>
        <w:t>i</w:t>
      </w:r>
      <w:r w:rsidR="002A176B" w:rsidRPr="00FE3358">
        <w:rPr>
          <w:sz w:val="20"/>
          <w:szCs w:val="20"/>
        </w:rPr>
        <w:t>esniegtās PVN deklarācijas pārskatā par priekšnodokļa un nodokļa summām, kas norādītas nodokļa deklarācijā, ir jābūt norādītiem visiem nodokļa rēķiniem, kas apliecina darījumu veikšanu projekta ietvaros un uz kuru pamata ir aprēķināts PVN samaksai valsts budžetā. PVN izmaksas var tikt attiecinātas Projekta ietvaros, ja tās ir faktiski veiktas no Projekta konta.</w:t>
      </w:r>
    </w:p>
    <w:p w14:paraId="223BEAFD" w14:textId="77777777" w:rsidR="002A176B" w:rsidRPr="00FE3358" w:rsidRDefault="002A176B" w:rsidP="00E313DB">
      <w:pPr>
        <w:pStyle w:val="ListParagraph"/>
        <w:ind w:left="0"/>
        <w:jc w:val="both"/>
        <w:rPr>
          <w:sz w:val="20"/>
          <w:szCs w:val="20"/>
        </w:rPr>
      </w:pPr>
    </w:p>
    <w:p w14:paraId="6FB2AC0C" w14:textId="39E8D127" w:rsidR="005563E1" w:rsidRPr="00FE3358" w:rsidRDefault="00DC5385" w:rsidP="00E313DB">
      <w:pPr>
        <w:pStyle w:val="ListParagraph"/>
        <w:ind w:left="0"/>
        <w:jc w:val="both"/>
        <w:rPr>
          <w:sz w:val="20"/>
          <w:szCs w:val="20"/>
        </w:rPr>
      </w:pPr>
      <w:r w:rsidRPr="00FE3358">
        <w:rPr>
          <w:sz w:val="20"/>
          <w:szCs w:val="20"/>
        </w:rPr>
        <w:t xml:space="preserve">Izstrādājot un noformējot maksājumu un darījumu apliecinošos dokumentus, ņem vērā </w:t>
      </w:r>
      <w:hyperlink r:id="rId10" w:history="1">
        <w:r w:rsidR="00A64895" w:rsidRPr="00C52356">
          <w:rPr>
            <w:rStyle w:val="Hyperlink"/>
            <w:sz w:val="20"/>
            <w:szCs w:val="20"/>
          </w:rPr>
          <w:t>G</w:t>
        </w:r>
        <w:r w:rsidRPr="00C52356">
          <w:rPr>
            <w:rStyle w:val="Hyperlink"/>
            <w:sz w:val="20"/>
            <w:szCs w:val="20"/>
          </w:rPr>
          <w:t>rāmatvedīb</w:t>
        </w:r>
        <w:r w:rsidR="00A64895" w:rsidRPr="00C52356">
          <w:rPr>
            <w:rStyle w:val="Hyperlink"/>
            <w:sz w:val="20"/>
            <w:szCs w:val="20"/>
          </w:rPr>
          <w:t>as likum</w:t>
        </w:r>
        <w:r w:rsidR="00C52356" w:rsidRPr="00C52356">
          <w:rPr>
            <w:rStyle w:val="Hyperlink"/>
            <w:sz w:val="20"/>
            <w:szCs w:val="20"/>
          </w:rPr>
          <w:t>ā</w:t>
        </w:r>
      </w:hyperlink>
      <w:r w:rsidR="00C52356">
        <w:rPr>
          <w:sz w:val="20"/>
          <w:szCs w:val="20"/>
        </w:rPr>
        <w:t>,</w:t>
      </w:r>
      <w:r w:rsidRPr="00FE3358">
        <w:rPr>
          <w:sz w:val="20"/>
          <w:szCs w:val="20"/>
        </w:rPr>
        <w:t xml:space="preserve"> </w:t>
      </w:r>
      <w:hyperlink r:id="rId11" w:history="1">
        <w:r w:rsidR="00C52356" w:rsidRPr="00C52356">
          <w:rPr>
            <w:rStyle w:val="Hyperlink"/>
            <w:sz w:val="20"/>
            <w:szCs w:val="20"/>
          </w:rPr>
          <w:t>Pievienotās vērtības nodokļa likumā</w:t>
        </w:r>
      </w:hyperlink>
      <w:r w:rsidRPr="00FE3358">
        <w:rPr>
          <w:sz w:val="20"/>
          <w:szCs w:val="20"/>
        </w:rPr>
        <w:t xml:space="preserve">, </w:t>
      </w:r>
      <w:hyperlink r:id="rId12" w:history="1">
        <w:r w:rsidRPr="00C52356">
          <w:rPr>
            <w:rStyle w:val="Hyperlink"/>
            <w:sz w:val="20"/>
            <w:szCs w:val="20"/>
          </w:rPr>
          <w:t>Ministru kabineta 20</w:t>
        </w:r>
        <w:r w:rsidR="00A64895" w:rsidRPr="00C52356">
          <w:rPr>
            <w:rStyle w:val="Hyperlink"/>
            <w:sz w:val="20"/>
            <w:szCs w:val="20"/>
          </w:rPr>
          <w:t>21</w:t>
        </w:r>
        <w:r w:rsidRPr="00C52356">
          <w:rPr>
            <w:rStyle w:val="Hyperlink"/>
            <w:sz w:val="20"/>
            <w:szCs w:val="20"/>
          </w:rPr>
          <w:t>.</w:t>
        </w:r>
        <w:r w:rsidR="00A64895" w:rsidRPr="00C52356">
          <w:rPr>
            <w:rStyle w:val="Hyperlink"/>
            <w:sz w:val="20"/>
            <w:szCs w:val="20"/>
          </w:rPr>
          <w:t> </w:t>
        </w:r>
        <w:r w:rsidRPr="00C52356">
          <w:rPr>
            <w:rStyle w:val="Hyperlink"/>
            <w:sz w:val="20"/>
            <w:szCs w:val="20"/>
          </w:rPr>
          <w:t>gada 21.</w:t>
        </w:r>
        <w:r w:rsidR="00A64895" w:rsidRPr="00C52356">
          <w:rPr>
            <w:rStyle w:val="Hyperlink"/>
            <w:sz w:val="20"/>
            <w:szCs w:val="20"/>
          </w:rPr>
          <w:t> decembra</w:t>
        </w:r>
        <w:r w:rsidRPr="00C52356">
          <w:rPr>
            <w:rStyle w:val="Hyperlink"/>
            <w:sz w:val="20"/>
            <w:szCs w:val="20"/>
          </w:rPr>
          <w:t xml:space="preserve"> noteikumos Nr.</w:t>
        </w:r>
        <w:r w:rsidR="00A64895" w:rsidRPr="00C52356">
          <w:rPr>
            <w:rStyle w:val="Hyperlink"/>
            <w:sz w:val="20"/>
            <w:szCs w:val="20"/>
          </w:rPr>
          <w:t> 877</w:t>
        </w:r>
        <w:r w:rsidRPr="00C52356">
          <w:rPr>
            <w:rStyle w:val="Hyperlink"/>
            <w:sz w:val="20"/>
            <w:szCs w:val="20"/>
          </w:rPr>
          <w:t xml:space="preserve"> </w:t>
        </w:r>
        <w:r w:rsidR="00A64895" w:rsidRPr="00C52356">
          <w:rPr>
            <w:rStyle w:val="Hyperlink"/>
            <w:sz w:val="20"/>
            <w:szCs w:val="20"/>
          </w:rPr>
          <w:t>“Grāmatvedības kārtošanas noteikumi</w:t>
        </w:r>
        <w:r w:rsidRPr="00C52356">
          <w:rPr>
            <w:rStyle w:val="Hyperlink"/>
            <w:sz w:val="20"/>
            <w:szCs w:val="20"/>
          </w:rPr>
          <w:t>”</w:t>
        </w:r>
      </w:hyperlink>
      <w:r w:rsidRPr="00FE3358">
        <w:rPr>
          <w:sz w:val="20"/>
          <w:szCs w:val="20"/>
        </w:rPr>
        <w:t xml:space="preserve">, </w:t>
      </w:r>
      <w:hyperlink r:id="rId13" w:history="1">
        <w:r w:rsidRPr="00C52356">
          <w:rPr>
            <w:rStyle w:val="Hyperlink"/>
            <w:sz w:val="20"/>
            <w:szCs w:val="20"/>
          </w:rPr>
          <w:t>Ministru kabineta 201</w:t>
        </w:r>
        <w:r w:rsidR="00A64895" w:rsidRPr="00C52356">
          <w:rPr>
            <w:rStyle w:val="Hyperlink"/>
            <w:sz w:val="20"/>
            <w:szCs w:val="20"/>
          </w:rPr>
          <w:t>8</w:t>
        </w:r>
        <w:r w:rsidRPr="00C52356">
          <w:rPr>
            <w:rStyle w:val="Hyperlink"/>
            <w:sz w:val="20"/>
            <w:szCs w:val="20"/>
          </w:rPr>
          <w:t>.</w:t>
        </w:r>
        <w:r w:rsidR="00A64895" w:rsidRPr="00C52356">
          <w:rPr>
            <w:rStyle w:val="Hyperlink"/>
            <w:sz w:val="20"/>
            <w:szCs w:val="20"/>
          </w:rPr>
          <w:t> </w:t>
        </w:r>
        <w:r w:rsidRPr="00C52356">
          <w:rPr>
            <w:rStyle w:val="Hyperlink"/>
            <w:sz w:val="20"/>
            <w:szCs w:val="20"/>
          </w:rPr>
          <w:t xml:space="preserve">gada </w:t>
        </w:r>
        <w:r w:rsidR="00A64895" w:rsidRPr="00C52356">
          <w:rPr>
            <w:rStyle w:val="Hyperlink"/>
            <w:sz w:val="20"/>
            <w:szCs w:val="20"/>
          </w:rPr>
          <w:t>4</w:t>
        </w:r>
        <w:r w:rsidR="00532560" w:rsidRPr="00C52356">
          <w:rPr>
            <w:rStyle w:val="Hyperlink"/>
            <w:sz w:val="20"/>
            <w:szCs w:val="20"/>
          </w:rPr>
          <w:t>.</w:t>
        </w:r>
        <w:r w:rsidR="00A64895" w:rsidRPr="00C52356">
          <w:rPr>
            <w:rStyle w:val="Hyperlink"/>
            <w:sz w:val="20"/>
            <w:szCs w:val="20"/>
          </w:rPr>
          <w:t> </w:t>
        </w:r>
        <w:r w:rsidR="00532560" w:rsidRPr="00C52356">
          <w:rPr>
            <w:rStyle w:val="Hyperlink"/>
            <w:sz w:val="20"/>
            <w:szCs w:val="20"/>
          </w:rPr>
          <w:t>septembra noteikumos Nr.</w:t>
        </w:r>
        <w:r w:rsidR="00A64895" w:rsidRPr="00C52356">
          <w:rPr>
            <w:rStyle w:val="Hyperlink"/>
            <w:sz w:val="20"/>
            <w:szCs w:val="20"/>
          </w:rPr>
          <w:t> 558</w:t>
        </w:r>
        <w:r w:rsidR="00532560" w:rsidRPr="00C52356">
          <w:rPr>
            <w:rStyle w:val="Hyperlink"/>
            <w:sz w:val="20"/>
            <w:szCs w:val="20"/>
          </w:rPr>
          <w:t xml:space="preserve"> “</w:t>
        </w:r>
        <w:r w:rsidRPr="00C52356">
          <w:rPr>
            <w:rStyle w:val="Hyperlink"/>
            <w:sz w:val="20"/>
            <w:szCs w:val="20"/>
          </w:rPr>
          <w:t>Dokumentu izstrā</w:t>
        </w:r>
        <w:r w:rsidR="00532560" w:rsidRPr="00C52356">
          <w:rPr>
            <w:rStyle w:val="Hyperlink"/>
            <w:sz w:val="20"/>
            <w:szCs w:val="20"/>
          </w:rPr>
          <w:t>dāšanas un noformēšanas kārtība”</w:t>
        </w:r>
      </w:hyperlink>
      <w:r w:rsidRPr="00FE3358">
        <w:rPr>
          <w:sz w:val="20"/>
          <w:szCs w:val="20"/>
        </w:rPr>
        <w:t>, kā arī citos normatīvajos aktos noteiktās prasības</w:t>
      </w:r>
      <w:r w:rsidR="005563E1" w:rsidRPr="00FE3358">
        <w:rPr>
          <w:sz w:val="20"/>
          <w:szCs w:val="20"/>
        </w:rPr>
        <w:t>.</w:t>
      </w:r>
    </w:p>
    <w:sectPr w:rsidR="005563E1" w:rsidRPr="00FE3358" w:rsidSect="00E23716">
      <w:headerReference w:type="default" r:id="rId14"/>
      <w:footerReference w:type="default" r:id="rId15"/>
      <w:pgSz w:w="16838" w:h="11906" w:orient="landscape"/>
      <w:pgMar w:top="1134" w:right="1134" w:bottom="1134" w:left="113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B624" w14:textId="77777777" w:rsidR="001A1ADD" w:rsidRDefault="001A1ADD" w:rsidP="00BD1BB6">
      <w:r>
        <w:separator/>
      </w:r>
    </w:p>
  </w:endnote>
  <w:endnote w:type="continuationSeparator" w:id="0">
    <w:p w14:paraId="09271DEA" w14:textId="77777777" w:rsidR="001A1ADD" w:rsidRDefault="001A1ADD" w:rsidP="00BD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A551" w14:textId="7F7C40D7" w:rsidR="00D21351" w:rsidRPr="00C52356" w:rsidRDefault="00D21351" w:rsidP="00C52356">
    <w:pPr>
      <w:pStyle w:val="Footer"/>
      <w:jc w:val="right"/>
      <w:rPr>
        <w:sz w:val="20"/>
        <w:szCs w:val="20"/>
      </w:rPr>
    </w:pPr>
    <w:r w:rsidRPr="00C52356">
      <w:rPr>
        <w:sz w:val="20"/>
        <w:szCs w:val="20"/>
      </w:rPr>
      <w:fldChar w:fldCharType="begin"/>
    </w:r>
    <w:r w:rsidRPr="00C52356">
      <w:rPr>
        <w:sz w:val="20"/>
        <w:szCs w:val="20"/>
      </w:rPr>
      <w:instrText xml:space="preserve"> PAGE   \* MERGEFORMAT </w:instrText>
    </w:r>
    <w:r w:rsidRPr="00C52356">
      <w:rPr>
        <w:sz w:val="20"/>
        <w:szCs w:val="20"/>
      </w:rPr>
      <w:fldChar w:fldCharType="separate"/>
    </w:r>
    <w:r w:rsidR="00FE3358" w:rsidRPr="00C52356">
      <w:rPr>
        <w:noProof/>
        <w:sz w:val="20"/>
        <w:szCs w:val="20"/>
      </w:rPr>
      <w:t>1</w:t>
    </w:r>
    <w:r w:rsidRPr="00C5235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310A" w14:textId="77777777" w:rsidR="001A1ADD" w:rsidRDefault="001A1ADD" w:rsidP="00BD1BB6">
      <w:r>
        <w:separator/>
      </w:r>
    </w:p>
  </w:footnote>
  <w:footnote w:type="continuationSeparator" w:id="0">
    <w:p w14:paraId="36911EDB" w14:textId="77777777" w:rsidR="001A1ADD" w:rsidRDefault="001A1ADD" w:rsidP="00BD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1239" w14:textId="6AC0BF4A" w:rsidR="00E23716" w:rsidRPr="002B324E" w:rsidRDefault="00A64895" w:rsidP="00E23716">
    <w:pPr>
      <w:jc w:val="right"/>
      <w:rPr>
        <w:sz w:val="16"/>
        <w:szCs w:val="16"/>
      </w:rPr>
    </w:pPr>
    <w:r>
      <w:rPr>
        <w:sz w:val="16"/>
        <w:szCs w:val="16"/>
      </w:rPr>
      <w:t>“</w:t>
    </w:r>
    <w:r w:rsidR="00E147CD" w:rsidRPr="00E147CD">
      <w:rPr>
        <w:sz w:val="16"/>
        <w:szCs w:val="16"/>
      </w:rPr>
      <w:t>Sabiedrības izpratnes veicināšana par klimatneitralitātes un klimatnoturības nozīmi un iespējām</w:t>
    </w:r>
    <w:r w:rsidR="00E23716" w:rsidRPr="002B324E">
      <w:rPr>
        <w:sz w:val="16"/>
        <w:szCs w:val="16"/>
      </w:rPr>
      <w:t>”</w:t>
    </w:r>
  </w:p>
  <w:p w14:paraId="4319B753" w14:textId="688028B4" w:rsidR="00E23716" w:rsidRDefault="00E23716" w:rsidP="00E23716">
    <w:pPr>
      <w:jc w:val="right"/>
      <w:rPr>
        <w:sz w:val="16"/>
        <w:szCs w:val="16"/>
      </w:rPr>
    </w:pPr>
    <w:r w:rsidRPr="002B324E">
      <w:rPr>
        <w:sz w:val="16"/>
        <w:szCs w:val="16"/>
      </w:rPr>
      <w:t>Līgum</w:t>
    </w:r>
    <w:r>
      <w:rPr>
        <w:sz w:val="16"/>
        <w:szCs w:val="16"/>
      </w:rPr>
      <w:t>a</w:t>
    </w:r>
    <w:r w:rsidRPr="002B324E">
      <w:rPr>
        <w:sz w:val="16"/>
        <w:szCs w:val="16"/>
      </w:rPr>
      <w:t xml:space="preserve"> par projekta ī</w:t>
    </w:r>
    <w:r>
      <w:rPr>
        <w:sz w:val="16"/>
        <w:szCs w:val="16"/>
      </w:rPr>
      <w:t>stenošanu vispārīgo noteikumu 4. pielikums – Attiecināmās izmaksas attaisnojošie dokumenti</w:t>
    </w:r>
    <w:r w:rsidR="00D03D54">
      <w:rPr>
        <w:sz w:val="16"/>
        <w:szCs w:val="16"/>
      </w:rPr>
      <w:t xml:space="preserve"> Finansējuma saņēmējam un Sadarbības partnerim</w:t>
    </w:r>
  </w:p>
  <w:p w14:paraId="4C9AC1D8" w14:textId="77777777" w:rsidR="00E23716" w:rsidRPr="00E23716" w:rsidRDefault="00E23716" w:rsidP="00E23716">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A9"/>
    <w:multiLevelType w:val="hybridMultilevel"/>
    <w:tmpl w:val="D340D298"/>
    <w:lvl w:ilvl="0" w:tplc="D4F2C1F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 w15:restartNumberingAfterBreak="0">
    <w:nsid w:val="06424490"/>
    <w:multiLevelType w:val="hybridMultilevel"/>
    <w:tmpl w:val="1F708490"/>
    <w:lvl w:ilvl="0" w:tplc="04260017">
      <w:start w:val="1"/>
      <w:numFmt w:val="lowerLetter"/>
      <w:lvlText w:val="%1)"/>
      <w:lvlJc w:val="left"/>
      <w:pPr>
        <w:ind w:left="513" w:hanging="360"/>
      </w:p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2" w15:restartNumberingAfterBreak="0">
    <w:nsid w:val="0AEF1148"/>
    <w:multiLevelType w:val="hybridMultilevel"/>
    <w:tmpl w:val="FD148CEC"/>
    <w:lvl w:ilvl="0" w:tplc="BB46ED38">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B77C90"/>
    <w:multiLevelType w:val="multilevel"/>
    <w:tmpl w:val="0426001F"/>
    <w:lvl w:ilvl="0">
      <w:start w:val="1"/>
      <w:numFmt w:val="decimal"/>
      <w:lvlText w:val="%1."/>
      <w:lvlJc w:val="left"/>
      <w:pPr>
        <w:ind w:left="3184" w:hanging="360"/>
      </w:pPr>
    </w:lvl>
    <w:lvl w:ilvl="1">
      <w:start w:val="1"/>
      <w:numFmt w:val="decimal"/>
      <w:lvlText w:val="%1.%2."/>
      <w:lvlJc w:val="left"/>
      <w:pPr>
        <w:ind w:left="3616" w:hanging="432"/>
      </w:pPr>
    </w:lvl>
    <w:lvl w:ilvl="2">
      <w:start w:val="1"/>
      <w:numFmt w:val="decimal"/>
      <w:lvlText w:val="%1.%2.%3."/>
      <w:lvlJc w:val="left"/>
      <w:pPr>
        <w:ind w:left="4048" w:hanging="504"/>
      </w:pPr>
    </w:lvl>
    <w:lvl w:ilvl="3">
      <w:start w:val="1"/>
      <w:numFmt w:val="decimal"/>
      <w:lvlText w:val="%1.%2.%3.%4."/>
      <w:lvlJc w:val="left"/>
      <w:pPr>
        <w:ind w:left="4552" w:hanging="648"/>
      </w:pPr>
    </w:lvl>
    <w:lvl w:ilvl="4">
      <w:start w:val="1"/>
      <w:numFmt w:val="decimal"/>
      <w:lvlText w:val="%1.%2.%3.%4.%5."/>
      <w:lvlJc w:val="left"/>
      <w:pPr>
        <w:ind w:left="5056" w:hanging="792"/>
      </w:pPr>
    </w:lvl>
    <w:lvl w:ilvl="5">
      <w:start w:val="1"/>
      <w:numFmt w:val="decimal"/>
      <w:lvlText w:val="%1.%2.%3.%4.%5.%6."/>
      <w:lvlJc w:val="left"/>
      <w:pPr>
        <w:ind w:left="5560" w:hanging="936"/>
      </w:pPr>
    </w:lvl>
    <w:lvl w:ilvl="6">
      <w:start w:val="1"/>
      <w:numFmt w:val="decimal"/>
      <w:lvlText w:val="%1.%2.%3.%4.%5.%6.%7."/>
      <w:lvlJc w:val="left"/>
      <w:pPr>
        <w:ind w:left="6064" w:hanging="1080"/>
      </w:pPr>
    </w:lvl>
    <w:lvl w:ilvl="7">
      <w:start w:val="1"/>
      <w:numFmt w:val="decimal"/>
      <w:lvlText w:val="%1.%2.%3.%4.%5.%6.%7.%8."/>
      <w:lvlJc w:val="left"/>
      <w:pPr>
        <w:ind w:left="6568" w:hanging="1224"/>
      </w:pPr>
    </w:lvl>
    <w:lvl w:ilvl="8">
      <w:start w:val="1"/>
      <w:numFmt w:val="decimal"/>
      <w:lvlText w:val="%1.%2.%3.%4.%5.%6.%7.%8.%9."/>
      <w:lvlJc w:val="left"/>
      <w:pPr>
        <w:ind w:left="7144" w:hanging="1440"/>
      </w:pPr>
    </w:lvl>
  </w:abstractNum>
  <w:abstractNum w:abstractNumId="4" w15:restartNumberingAfterBreak="0">
    <w:nsid w:val="13D04C80"/>
    <w:multiLevelType w:val="hybridMultilevel"/>
    <w:tmpl w:val="2850CA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F55194"/>
    <w:multiLevelType w:val="hybridMultilevel"/>
    <w:tmpl w:val="D430D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7B6352"/>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6C3D45"/>
    <w:multiLevelType w:val="hybridMultilevel"/>
    <w:tmpl w:val="903CE42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82439C4"/>
    <w:multiLevelType w:val="hybridMultilevel"/>
    <w:tmpl w:val="8E0038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E10F39"/>
    <w:multiLevelType w:val="hybridMultilevel"/>
    <w:tmpl w:val="FFB0C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17389B"/>
    <w:multiLevelType w:val="hybridMultilevel"/>
    <w:tmpl w:val="5434D0B0"/>
    <w:lvl w:ilvl="0" w:tplc="FB90510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1" w15:restartNumberingAfterBreak="0">
    <w:nsid w:val="367D11EE"/>
    <w:multiLevelType w:val="multilevel"/>
    <w:tmpl w:val="FAF2B280"/>
    <w:lvl w:ilvl="0">
      <w:start w:val="5"/>
      <w:numFmt w:val="decimal"/>
      <w:lvlText w:val="%1."/>
      <w:lvlJc w:val="left"/>
      <w:pPr>
        <w:ind w:left="675" w:hanging="675"/>
      </w:pPr>
      <w:rPr>
        <w:rFonts w:cs="Times New Roman" w:hint="default"/>
      </w:rPr>
    </w:lvl>
    <w:lvl w:ilvl="1">
      <w:start w:val="2"/>
      <w:numFmt w:val="decimal"/>
      <w:lvlText w:val="%1.%2."/>
      <w:lvlJc w:val="left"/>
      <w:pPr>
        <w:ind w:left="440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369B0732"/>
    <w:multiLevelType w:val="hybridMultilevel"/>
    <w:tmpl w:val="004CBBFC"/>
    <w:lvl w:ilvl="0" w:tplc="E7D806F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3" w15:restartNumberingAfterBreak="0">
    <w:nsid w:val="3D442C13"/>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E238C5"/>
    <w:multiLevelType w:val="multilevel"/>
    <w:tmpl w:val="39501CEA"/>
    <w:lvl w:ilvl="0">
      <w:start w:val="1"/>
      <w:numFmt w:val="decimal"/>
      <w:lvlText w:val="%1."/>
      <w:lvlJc w:val="left"/>
      <w:pPr>
        <w:tabs>
          <w:tab w:val="num" w:pos="577"/>
        </w:tabs>
        <w:ind w:left="180" w:firstLine="0"/>
      </w:pPr>
      <w:rPr>
        <w:rFonts w:hint="default"/>
        <w:b w:val="0"/>
        <w:color w:val="auto"/>
      </w:rPr>
    </w:lvl>
    <w:lvl w:ilvl="1">
      <w:start w:val="1"/>
      <w:numFmt w:val="decimal"/>
      <w:pStyle w:val="Noteikumuapakpunkti"/>
      <w:lvlText w:val="%1.%2."/>
      <w:lvlJc w:val="left"/>
      <w:pPr>
        <w:tabs>
          <w:tab w:val="num" w:pos="860"/>
        </w:tabs>
        <w:ind w:left="18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097D82"/>
    <w:multiLevelType w:val="hybridMultilevel"/>
    <w:tmpl w:val="CD584434"/>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0166036"/>
    <w:multiLevelType w:val="multilevel"/>
    <w:tmpl w:val="F6FA599E"/>
    <w:lvl w:ilvl="0">
      <w:start w:val="1"/>
      <w:numFmt w:val="decimal"/>
      <w:pStyle w:val="Punkts1Lmenis"/>
      <w:lvlText w:val="%1."/>
      <w:lvlJc w:val="left"/>
      <w:pPr>
        <w:tabs>
          <w:tab w:val="num" w:pos="567"/>
        </w:tabs>
        <w:ind w:left="567" w:hanging="567"/>
      </w:pPr>
      <w:rPr>
        <w:rFonts w:cs="Times New Roman" w:hint="default"/>
      </w:rPr>
    </w:lvl>
    <w:lvl w:ilvl="1">
      <w:start w:val="1"/>
      <w:numFmt w:val="decimal"/>
      <w:pStyle w:val="Punkts2Lmenis"/>
      <w:isLgl/>
      <w:lvlText w:val="%1.%2."/>
      <w:lvlJc w:val="left"/>
      <w:pPr>
        <w:tabs>
          <w:tab w:val="num" w:pos="851"/>
        </w:tabs>
        <w:ind w:left="851" w:hanging="567"/>
      </w:pPr>
      <w:rPr>
        <w:rFonts w:cs="Times New Roman" w:hint="default"/>
      </w:rPr>
    </w:lvl>
    <w:lvl w:ilvl="2">
      <w:start w:val="1"/>
      <w:numFmt w:val="decimal"/>
      <w:pStyle w:val="Punkts3Lmenis"/>
      <w:lvlText w:val="%1.%2.%3."/>
      <w:lvlJc w:val="left"/>
      <w:pPr>
        <w:tabs>
          <w:tab w:val="num" w:pos="1021"/>
        </w:tabs>
        <w:ind w:left="1021" w:hanging="567"/>
      </w:pPr>
      <w:rPr>
        <w:rFonts w:cs="Times New Roman" w:hint="default"/>
      </w:rPr>
    </w:lvl>
    <w:lvl w:ilvl="3">
      <w:start w:val="1"/>
      <w:numFmt w:val="decimal"/>
      <w:lvlText w:val="%4."/>
      <w:lvlJc w:val="left"/>
      <w:pPr>
        <w:tabs>
          <w:tab w:val="num" w:pos="1248"/>
        </w:tabs>
        <w:ind w:left="1248" w:hanging="567"/>
      </w:pPr>
      <w:rPr>
        <w:rFonts w:cs="Times New Roman" w:hint="default"/>
      </w:rPr>
    </w:lvl>
    <w:lvl w:ilvl="4">
      <w:start w:val="1"/>
      <w:numFmt w:val="lowerLetter"/>
      <w:lvlText w:val="%5."/>
      <w:lvlJc w:val="left"/>
      <w:pPr>
        <w:tabs>
          <w:tab w:val="num" w:pos="1475"/>
        </w:tabs>
        <w:ind w:left="1475" w:hanging="567"/>
      </w:pPr>
      <w:rPr>
        <w:rFonts w:cs="Times New Roman" w:hint="default"/>
      </w:rPr>
    </w:lvl>
    <w:lvl w:ilvl="5">
      <w:start w:val="1"/>
      <w:numFmt w:val="lowerRoman"/>
      <w:lvlText w:val="%6."/>
      <w:lvlJc w:val="right"/>
      <w:pPr>
        <w:tabs>
          <w:tab w:val="num" w:pos="1702"/>
        </w:tabs>
        <w:ind w:left="1702" w:hanging="567"/>
      </w:pPr>
      <w:rPr>
        <w:rFonts w:cs="Times New Roman" w:hint="default"/>
      </w:rPr>
    </w:lvl>
    <w:lvl w:ilvl="6">
      <w:start w:val="1"/>
      <w:numFmt w:val="decimal"/>
      <w:lvlText w:val="%7."/>
      <w:lvlJc w:val="left"/>
      <w:pPr>
        <w:tabs>
          <w:tab w:val="num" w:pos="1929"/>
        </w:tabs>
        <w:ind w:left="1929" w:hanging="567"/>
      </w:pPr>
      <w:rPr>
        <w:rFonts w:cs="Times New Roman" w:hint="default"/>
      </w:rPr>
    </w:lvl>
    <w:lvl w:ilvl="7">
      <w:start w:val="1"/>
      <w:numFmt w:val="lowerLetter"/>
      <w:lvlText w:val="%8."/>
      <w:lvlJc w:val="left"/>
      <w:pPr>
        <w:tabs>
          <w:tab w:val="num" w:pos="2156"/>
        </w:tabs>
        <w:ind w:left="2156" w:hanging="567"/>
      </w:pPr>
      <w:rPr>
        <w:rFonts w:cs="Times New Roman" w:hint="default"/>
      </w:rPr>
    </w:lvl>
    <w:lvl w:ilvl="8">
      <w:start w:val="1"/>
      <w:numFmt w:val="lowerRoman"/>
      <w:lvlText w:val="%9."/>
      <w:lvlJc w:val="right"/>
      <w:pPr>
        <w:tabs>
          <w:tab w:val="num" w:pos="2383"/>
        </w:tabs>
        <w:ind w:left="2383" w:hanging="567"/>
      </w:pPr>
      <w:rPr>
        <w:rFonts w:cs="Times New Roman" w:hint="default"/>
      </w:rPr>
    </w:lvl>
  </w:abstractNum>
  <w:abstractNum w:abstractNumId="17" w15:restartNumberingAfterBreak="0">
    <w:nsid w:val="40C048E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DF1010"/>
    <w:multiLevelType w:val="hybridMultilevel"/>
    <w:tmpl w:val="3134E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353B5D"/>
    <w:multiLevelType w:val="hybridMultilevel"/>
    <w:tmpl w:val="7B469488"/>
    <w:lvl w:ilvl="0" w:tplc="4BF4231E">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9508E2"/>
    <w:multiLevelType w:val="hybridMultilevel"/>
    <w:tmpl w:val="2E8E7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D15C6E"/>
    <w:multiLevelType w:val="hybridMultilevel"/>
    <w:tmpl w:val="27EE3CEC"/>
    <w:lvl w:ilvl="0" w:tplc="9328F18A">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42009CF"/>
    <w:multiLevelType w:val="hybridMultilevel"/>
    <w:tmpl w:val="FB72CD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E4069C"/>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0A6A59"/>
    <w:multiLevelType w:val="multilevel"/>
    <w:tmpl w:val="BB4CD7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7E31B0"/>
    <w:multiLevelType w:val="hybridMultilevel"/>
    <w:tmpl w:val="8F7AC978"/>
    <w:lvl w:ilvl="0" w:tplc="56C8AE6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26" w15:restartNumberingAfterBreak="0">
    <w:nsid w:val="6448700A"/>
    <w:multiLevelType w:val="multilevel"/>
    <w:tmpl w:val="7362D99A"/>
    <w:lvl w:ilvl="0">
      <w:start w:val="1"/>
      <w:numFmt w:val="decimal"/>
      <w:lvlText w:val="%1."/>
      <w:lvlJc w:val="left"/>
      <w:pPr>
        <w:ind w:left="720" w:hanging="360"/>
      </w:pPr>
      <w:rPr>
        <w:rFonts w:cs="Times New Roman"/>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82E6D1C"/>
    <w:multiLevelType w:val="hybridMultilevel"/>
    <w:tmpl w:val="2340D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6C5898"/>
    <w:multiLevelType w:val="hybridMultilevel"/>
    <w:tmpl w:val="261ED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1012923">
    <w:abstractNumId w:val="17"/>
  </w:num>
  <w:num w:numId="2" w16cid:durableId="312374977">
    <w:abstractNumId w:val="18"/>
  </w:num>
  <w:num w:numId="3" w16cid:durableId="1082069002">
    <w:abstractNumId w:val="14"/>
  </w:num>
  <w:num w:numId="4" w16cid:durableId="73741152">
    <w:abstractNumId w:val="3"/>
  </w:num>
  <w:num w:numId="5" w16cid:durableId="232812352">
    <w:abstractNumId w:val="20"/>
  </w:num>
  <w:num w:numId="6" w16cid:durableId="662011228">
    <w:abstractNumId w:val="19"/>
  </w:num>
  <w:num w:numId="7" w16cid:durableId="743642309">
    <w:abstractNumId w:val="4"/>
  </w:num>
  <w:num w:numId="8" w16cid:durableId="716927611">
    <w:abstractNumId w:val="11"/>
  </w:num>
  <w:num w:numId="9" w16cid:durableId="1158183376">
    <w:abstractNumId w:val="16"/>
  </w:num>
  <w:num w:numId="10" w16cid:durableId="578364297">
    <w:abstractNumId w:val="24"/>
  </w:num>
  <w:num w:numId="11" w16cid:durableId="1222473972">
    <w:abstractNumId w:val="0"/>
  </w:num>
  <w:num w:numId="12" w16cid:durableId="1120075816">
    <w:abstractNumId w:val="10"/>
  </w:num>
  <w:num w:numId="13" w16cid:durableId="1056078197">
    <w:abstractNumId w:val="25"/>
  </w:num>
  <w:num w:numId="14" w16cid:durableId="1299337573">
    <w:abstractNumId w:val="12"/>
  </w:num>
  <w:num w:numId="15" w16cid:durableId="6055345">
    <w:abstractNumId w:val="8"/>
  </w:num>
  <w:num w:numId="16" w16cid:durableId="563297685">
    <w:abstractNumId w:val="7"/>
  </w:num>
  <w:num w:numId="17" w16cid:durableId="645546659">
    <w:abstractNumId w:val="5"/>
  </w:num>
  <w:num w:numId="18" w16cid:durableId="449711711">
    <w:abstractNumId w:val="9"/>
  </w:num>
  <w:num w:numId="19" w16cid:durableId="438447992">
    <w:abstractNumId w:val="22"/>
  </w:num>
  <w:num w:numId="20" w16cid:durableId="873738376">
    <w:abstractNumId w:val="28"/>
  </w:num>
  <w:num w:numId="21" w16cid:durableId="2105490052">
    <w:abstractNumId w:val="13"/>
  </w:num>
  <w:num w:numId="22" w16cid:durableId="59911762">
    <w:abstractNumId w:val="6"/>
  </w:num>
  <w:num w:numId="23" w16cid:durableId="915283169">
    <w:abstractNumId w:val="23"/>
  </w:num>
  <w:num w:numId="24" w16cid:durableId="379744945">
    <w:abstractNumId w:val="1"/>
  </w:num>
  <w:num w:numId="25" w16cid:durableId="735320361">
    <w:abstractNumId w:val="27"/>
  </w:num>
  <w:num w:numId="26" w16cid:durableId="796142159">
    <w:abstractNumId w:val="2"/>
  </w:num>
  <w:num w:numId="27" w16cid:durableId="2033607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7928394">
    <w:abstractNumId w:val="15"/>
  </w:num>
  <w:num w:numId="29" w16cid:durableId="40726922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F3"/>
    <w:rsid w:val="0004220D"/>
    <w:rsid w:val="00062C37"/>
    <w:rsid w:val="00071BAD"/>
    <w:rsid w:val="000745D0"/>
    <w:rsid w:val="0008725B"/>
    <w:rsid w:val="000A1981"/>
    <w:rsid w:val="000A4E1C"/>
    <w:rsid w:val="000E1B75"/>
    <w:rsid w:val="000E2DA3"/>
    <w:rsid w:val="00103A17"/>
    <w:rsid w:val="00111C14"/>
    <w:rsid w:val="00112946"/>
    <w:rsid w:val="001131F0"/>
    <w:rsid w:val="0011622C"/>
    <w:rsid w:val="001232E9"/>
    <w:rsid w:val="0012491B"/>
    <w:rsid w:val="001269E5"/>
    <w:rsid w:val="00133ED3"/>
    <w:rsid w:val="00152624"/>
    <w:rsid w:val="001A1ADD"/>
    <w:rsid w:val="001C37F8"/>
    <w:rsid w:val="001C685E"/>
    <w:rsid w:val="001D4E08"/>
    <w:rsid w:val="001E66B2"/>
    <w:rsid w:val="001E72BE"/>
    <w:rsid w:val="002061D2"/>
    <w:rsid w:val="00261406"/>
    <w:rsid w:val="00265F4E"/>
    <w:rsid w:val="00281871"/>
    <w:rsid w:val="00293235"/>
    <w:rsid w:val="002A176B"/>
    <w:rsid w:val="002B743C"/>
    <w:rsid w:val="002E3394"/>
    <w:rsid w:val="002E70D8"/>
    <w:rsid w:val="002F2998"/>
    <w:rsid w:val="00300A40"/>
    <w:rsid w:val="00302F57"/>
    <w:rsid w:val="003418BD"/>
    <w:rsid w:val="00362FFB"/>
    <w:rsid w:val="003640F5"/>
    <w:rsid w:val="00364F1C"/>
    <w:rsid w:val="0036535A"/>
    <w:rsid w:val="00370C6D"/>
    <w:rsid w:val="003772E6"/>
    <w:rsid w:val="00387721"/>
    <w:rsid w:val="00397371"/>
    <w:rsid w:val="003A0C79"/>
    <w:rsid w:val="003A162B"/>
    <w:rsid w:val="003A2EF6"/>
    <w:rsid w:val="003A4F07"/>
    <w:rsid w:val="003A7C70"/>
    <w:rsid w:val="003B4245"/>
    <w:rsid w:val="003C2410"/>
    <w:rsid w:val="003D0983"/>
    <w:rsid w:val="003E5B2A"/>
    <w:rsid w:val="00402D2F"/>
    <w:rsid w:val="00433D45"/>
    <w:rsid w:val="00460C98"/>
    <w:rsid w:val="004764AB"/>
    <w:rsid w:val="004B2663"/>
    <w:rsid w:val="004B33A5"/>
    <w:rsid w:val="004C0636"/>
    <w:rsid w:val="004C62D0"/>
    <w:rsid w:val="004C780A"/>
    <w:rsid w:val="004E1D25"/>
    <w:rsid w:val="00501AC7"/>
    <w:rsid w:val="0051752B"/>
    <w:rsid w:val="00532560"/>
    <w:rsid w:val="005425B4"/>
    <w:rsid w:val="005562B7"/>
    <w:rsid w:val="005563E1"/>
    <w:rsid w:val="005631DF"/>
    <w:rsid w:val="00567CAD"/>
    <w:rsid w:val="00570F26"/>
    <w:rsid w:val="005C222B"/>
    <w:rsid w:val="005C3450"/>
    <w:rsid w:val="005C7872"/>
    <w:rsid w:val="005D632C"/>
    <w:rsid w:val="005E47D1"/>
    <w:rsid w:val="005E59DB"/>
    <w:rsid w:val="005F5A69"/>
    <w:rsid w:val="006173D8"/>
    <w:rsid w:val="0062698A"/>
    <w:rsid w:val="006502C6"/>
    <w:rsid w:val="006718A7"/>
    <w:rsid w:val="006B03E4"/>
    <w:rsid w:val="006B0E85"/>
    <w:rsid w:val="006C0208"/>
    <w:rsid w:val="006D3155"/>
    <w:rsid w:val="006D7670"/>
    <w:rsid w:val="006E4108"/>
    <w:rsid w:val="006F71A3"/>
    <w:rsid w:val="00712ED7"/>
    <w:rsid w:val="00717F28"/>
    <w:rsid w:val="00730430"/>
    <w:rsid w:val="00735BA5"/>
    <w:rsid w:val="007446C7"/>
    <w:rsid w:val="007552D0"/>
    <w:rsid w:val="00760F3F"/>
    <w:rsid w:val="00775878"/>
    <w:rsid w:val="007771DC"/>
    <w:rsid w:val="00793E67"/>
    <w:rsid w:val="007A6A42"/>
    <w:rsid w:val="007F401F"/>
    <w:rsid w:val="007F6D42"/>
    <w:rsid w:val="00825D34"/>
    <w:rsid w:val="0083272A"/>
    <w:rsid w:val="00850B2A"/>
    <w:rsid w:val="008562A7"/>
    <w:rsid w:val="00892681"/>
    <w:rsid w:val="00893D71"/>
    <w:rsid w:val="008A12DC"/>
    <w:rsid w:val="008B3799"/>
    <w:rsid w:val="008C6A94"/>
    <w:rsid w:val="008D66CA"/>
    <w:rsid w:val="008D7C22"/>
    <w:rsid w:val="008E4236"/>
    <w:rsid w:val="00915940"/>
    <w:rsid w:val="00923586"/>
    <w:rsid w:val="00935913"/>
    <w:rsid w:val="0094386E"/>
    <w:rsid w:val="00957591"/>
    <w:rsid w:val="00964388"/>
    <w:rsid w:val="00973E68"/>
    <w:rsid w:val="0097624E"/>
    <w:rsid w:val="009801C6"/>
    <w:rsid w:val="0098476A"/>
    <w:rsid w:val="009D48D3"/>
    <w:rsid w:val="009E3E32"/>
    <w:rsid w:val="00A01F26"/>
    <w:rsid w:val="00A405D9"/>
    <w:rsid w:val="00A44B4E"/>
    <w:rsid w:val="00A54805"/>
    <w:rsid w:val="00A568E4"/>
    <w:rsid w:val="00A64895"/>
    <w:rsid w:val="00A661E0"/>
    <w:rsid w:val="00A666EE"/>
    <w:rsid w:val="00A8670C"/>
    <w:rsid w:val="00A94DF9"/>
    <w:rsid w:val="00A97C3C"/>
    <w:rsid w:val="00AA6E6F"/>
    <w:rsid w:val="00AB52D0"/>
    <w:rsid w:val="00AE1502"/>
    <w:rsid w:val="00AE49CE"/>
    <w:rsid w:val="00AF5AF9"/>
    <w:rsid w:val="00B04AC6"/>
    <w:rsid w:val="00B121E5"/>
    <w:rsid w:val="00B17229"/>
    <w:rsid w:val="00B36964"/>
    <w:rsid w:val="00B371B2"/>
    <w:rsid w:val="00B37342"/>
    <w:rsid w:val="00B45433"/>
    <w:rsid w:val="00B57E21"/>
    <w:rsid w:val="00B6173A"/>
    <w:rsid w:val="00B8731B"/>
    <w:rsid w:val="00BA1DF2"/>
    <w:rsid w:val="00BB0A39"/>
    <w:rsid w:val="00BC7CD0"/>
    <w:rsid w:val="00BD1BB6"/>
    <w:rsid w:val="00BE18DC"/>
    <w:rsid w:val="00C02F3D"/>
    <w:rsid w:val="00C11571"/>
    <w:rsid w:val="00C2057F"/>
    <w:rsid w:val="00C33A5E"/>
    <w:rsid w:val="00C3659E"/>
    <w:rsid w:val="00C404D9"/>
    <w:rsid w:val="00C40F4B"/>
    <w:rsid w:val="00C47A91"/>
    <w:rsid w:val="00C52356"/>
    <w:rsid w:val="00C546C8"/>
    <w:rsid w:val="00C56898"/>
    <w:rsid w:val="00C60798"/>
    <w:rsid w:val="00C82C94"/>
    <w:rsid w:val="00C87E1E"/>
    <w:rsid w:val="00C91874"/>
    <w:rsid w:val="00C91A18"/>
    <w:rsid w:val="00C92577"/>
    <w:rsid w:val="00CA11A9"/>
    <w:rsid w:val="00CA77D3"/>
    <w:rsid w:val="00CB0A11"/>
    <w:rsid w:val="00CB79F7"/>
    <w:rsid w:val="00CC2433"/>
    <w:rsid w:val="00CC32C7"/>
    <w:rsid w:val="00CC4624"/>
    <w:rsid w:val="00CC7431"/>
    <w:rsid w:val="00CE4B75"/>
    <w:rsid w:val="00D03D54"/>
    <w:rsid w:val="00D06EE8"/>
    <w:rsid w:val="00D21351"/>
    <w:rsid w:val="00D36E2C"/>
    <w:rsid w:val="00D96D74"/>
    <w:rsid w:val="00DA0EE9"/>
    <w:rsid w:val="00DB401A"/>
    <w:rsid w:val="00DC5385"/>
    <w:rsid w:val="00DF728E"/>
    <w:rsid w:val="00E147CD"/>
    <w:rsid w:val="00E15DCA"/>
    <w:rsid w:val="00E23716"/>
    <w:rsid w:val="00E313DB"/>
    <w:rsid w:val="00E51ABB"/>
    <w:rsid w:val="00E8248B"/>
    <w:rsid w:val="00EB2B70"/>
    <w:rsid w:val="00EB3749"/>
    <w:rsid w:val="00F06A34"/>
    <w:rsid w:val="00F225B5"/>
    <w:rsid w:val="00F32FE1"/>
    <w:rsid w:val="00F371F3"/>
    <w:rsid w:val="00F6359D"/>
    <w:rsid w:val="00F65AFE"/>
    <w:rsid w:val="00F7682F"/>
    <w:rsid w:val="00FE33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1311A"/>
  <w15:docId w15:val="{713E855F-2020-4838-953D-67BA2FD1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1F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371F3"/>
    <w:rPr>
      <w:rFonts w:ascii="Tahoma" w:hAnsi="Tahoma"/>
      <w:sz w:val="16"/>
      <w:szCs w:val="16"/>
      <w:lang w:val="x-none"/>
    </w:rPr>
  </w:style>
  <w:style w:type="character" w:customStyle="1" w:styleId="BalloonTextChar">
    <w:name w:val="Balloon Text Char"/>
    <w:link w:val="BalloonText"/>
    <w:semiHidden/>
    <w:locked/>
    <w:rsid w:val="00F371F3"/>
    <w:rPr>
      <w:rFonts w:ascii="Tahoma" w:hAnsi="Tahoma" w:cs="Tahoma"/>
      <w:sz w:val="16"/>
      <w:szCs w:val="16"/>
      <w:lang w:eastAsia="lv-LV"/>
    </w:rPr>
  </w:style>
  <w:style w:type="character" w:styleId="CommentReference">
    <w:name w:val="annotation reference"/>
    <w:uiPriority w:val="99"/>
    <w:semiHidden/>
    <w:rsid w:val="00300A40"/>
    <w:rPr>
      <w:rFonts w:cs="Times New Roman"/>
      <w:sz w:val="16"/>
      <w:szCs w:val="16"/>
    </w:rPr>
  </w:style>
  <w:style w:type="paragraph" w:styleId="CommentText">
    <w:name w:val="annotation text"/>
    <w:basedOn w:val="Normal"/>
    <w:link w:val="CommentTextChar"/>
    <w:uiPriority w:val="99"/>
    <w:semiHidden/>
    <w:rsid w:val="00300A40"/>
    <w:rPr>
      <w:sz w:val="20"/>
      <w:szCs w:val="20"/>
      <w:lang w:val="x-none"/>
    </w:rPr>
  </w:style>
  <w:style w:type="character" w:customStyle="1" w:styleId="CommentTextChar">
    <w:name w:val="Comment Text Char"/>
    <w:link w:val="CommentText"/>
    <w:uiPriority w:val="99"/>
    <w:semiHidden/>
    <w:locked/>
    <w:rsid w:val="00300A40"/>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300A40"/>
    <w:rPr>
      <w:b/>
      <w:bCs/>
    </w:rPr>
  </w:style>
  <w:style w:type="character" w:customStyle="1" w:styleId="CommentSubjectChar">
    <w:name w:val="Comment Subject Char"/>
    <w:link w:val="CommentSubject"/>
    <w:semiHidden/>
    <w:locked/>
    <w:rsid w:val="00300A40"/>
    <w:rPr>
      <w:rFonts w:ascii="Times New Roman" w:hAnsi="Times New Roman" w:cs="Times New Roman"/>
      <w:b/>
      <w:bCs/>
      <w:sz w:val="20"/>
      <w:szCs w:val="20"/>
      <w:lang w:eastAsia="lv-LV"/>
    </w:rPr>
  </w:style>
  <w:style w:type="paragraph" w:customStyle="1" w:styleId="Noteikumutekstam">
    <w:name w:val="Noteikumu tekstam"/>
    <w:basedOn w:val="Normal"/>
    <w:link w:val="NoteikumutekstamRakstz"/>
    <w:autoRedefine/>
    <w:uiPriority w:val="99"/>
    <w:rsid w:val="003A2EF6"/>
    <w:pPr>
      <w:tabs>
        <w:tab w:val="left" w:pos="567"/>
      </w:tabs>
      <w:jc w:val="both"/>
    </w:pPr>
    <w:rPr>
      <w:rFonts w:eastAsia="Times New Roman"/>
      <w:sz w:val="22"/>
      <w:szCs w:val="22"/>
      <w:lang w:val="x-none" w:eastAsia="x-none"/>
    </w:rPr>
  </w:style>
  <w:style w:type="character" w:customStyle="1" w:styleId="NoteikumutekstamRakstz">
    <w:name w:val="Noteikumu tekstam Rakstz."/>
    <w:link w:val="Noteikumutekstam"/>
    <w:uiPriority w:val="99"/>
    <w:rsid w:val="003A2EF6"/>
    <w:rPr>
      <w:rFonts w:ascii="Times New Roman" w:eastAsia="Times New Roman" w:hAnsi="Times New Roman"/>
      <w:sz w:val="22"/>
      <w:szCs w:val="22"/>
    </w:rPr>
  </w:style>
  <w:style w:type="paragraph" w:customStyle="1" w:styleId="Noteikumuapakpunkti">
    <w:name w:val="Noteikumu apakšpunkti"/>
    <w:basedOn w:val="Normal"/>
    <w:uiPriority w:val="99"/>
    <w:rsid w:val="00261406"/>
    <w:pPr>
      <w:numPr>
        <w:ilvl w:val="1"/>
        <w:numId w:val="3"/>
      </w:numPr>
      <w:tabs>
        <w:tab w:val="left" w:pos="567"/>
      </w:tabs>
      <w:spacing w:after="120"/>
      <w:jc w:val="both"/>
    </w:pPr>
    <w:rPr>
      <w:rFonts w:eastAsia="Times New Roman"/>
      <w:sz w:val="22"/>
      <w:szCs w:val="22"/>
    </w:rPr>
  </w:style>
  <w:style w:type="paragraph" w:customStyle="1" w:styleId="Noteikumuapakpunkti2">
    <w:name w:val="Noteikumu apakšpunkti_2"/>
    <w:basedOn w:val="Noteikumuapakpunkti"/>
    <w:uiPriority w:val="99"/>
    <w:rsid w:val="00261406"/>
    <w:pPr>
      <w:numPr>
        <w:ilvl w:val="2"/>
      </w:numPr>
    </w:pPr>
  </w:style>
  <w:style w:type="paragraph" w:customStyle="1" w:styleId="Noteikumuapakpunkt3">
    <w:name w:val="Noteikumu apakšpunkt_3"/>
    <w:basedOn w:val="Noteikumuapakpunkti2"/>
    <w:uiPriority w:val="99"/>
    <w:rsid w:val="00261406"/>
    <w:pPr>
      <w:numPr>
        <w:ilvl w:val="3"/>
      </w:numPr>
    </w:pPr>
  </w:style>
  <w:style w:type="paragraph" w:styleId="ListParagraph">
    <w:name w:val="List Paragraph"/>
    <w:basedOn w:val="Normal"/>
    <w:uiPriority w:val="34"/>
    <w:qFormat/>
    <w:rsid w:val="00A97C3C"/>
    <w:pPr>
      <w:spacing w:after="200" w:line="276" w:lineRule="auto"/>
      <w:ind w:left="720"/>
      <w:contextualSpacing/>
    </w:pPr>
    <w:rPr>
      <w:lang w:eastAsia="en-US"/>
    </w:rPr>
  </w:style>
  <w:style w:type="paragraph" w:customStyle="1" w:styleId="Punkts1Lmenis">
    <w:name w:val="Punkts 1.Līmenis"/>
    <w:basedOn w:val="Normal"/>
    <w:link w:val="Punkts1LmenisChar"/>
    <w:rsid w:val="003B4245"/>
    <w:pPr>
      <w:keepLines/>
      <w:numPr>
        <w:numId w:val="9"/>
      </w:numPr>
      <w:shd w:val="clear" w:color="auto" w:fill="FFFFFF"/>
      <w:spacing w:before="20" w:after="20"/>
      <w:jc w:val="both"/>
    </w:pPr>
    <w:rPr>
      <w:szCs w:val="28"/>
      <w:lang w:val="x-none" w:eastAsia="x-none"/>
    </w:rPr>
  </w:style>
  <w:style w:type="character" w:customStyle="1" w:styleId="Punkts1LmenisChar">
    <w:name w:val="Punkts 1.Līmenis Char"/>
    <w:link w:val="Punkts1Lmenis"/>
    <w:locked/>
    <w:rsid w:val="003B4245"/>
    <w:rPr>
      <w:rFonts w:ascii="Times New Roman" w:hAnsi="Times New Roman"/>
      <w:sz w:val="24"/>
      <w:szCs w:val="28"/>
      <w:shd w:val="clear" w:color="auto" w:fill="FFFFFF"/>
    </w:rPr>
  </w:style>
  <w:style w:type="paragraph" w:customStyle="1" w:styleId="Punkts2Lmenis">
    <w:name w:val="Punkts 2.Līmenis"/>
    <w:basedOn w:val="Punkts1Lmenis"/>
    <w:rsid w:val="003B4245"/>
    <w:pPr>
      <w:numPr>
        <w:ilvl w:val="1"/>
      </w:numPr>
      <w:tabs>
        <w:tab w:val="clear" w:pos="851"/>
        <w:tab w:val="num" w:pos="360"/>
      </w:tabs>
    </w:pPr>
  </w:style>
  <w:style w:type="paragraph" w:customStyle="1" w:styleId="Punkts3Lmenis">
    <w:name w:val="Punkts 3.Līmenis"/>
    <w:basedOn w:val="Punkts2Lmenis"/>
    <w:rsid w:val="003B4245"/>
    <w:pPr>
      <w:numPr>
        <w:ilvl w:val="2"/>
      </w:numPr>
      <w:tabs>
        <w:tab w:val="clear" w:pos="1021"/>
        <w:tab w:val="num" w:pos="360"/>
      </w:tabs>
    </w:pPr>
  </w:style>
  <w:style w:type="paragraph" w:customStyle="1" w:styleId="Lister">
    <w:name w:val="Lister"/>
    <w:basedOn w:val="Normal"/>
    <w:link w:val="ListerChar"/>
    <w:rsid w:val="003B4245"/>
    <w:rPr>
      <w:szCs w:val="28"/>
      <w:lang w:val="x-none" w:eastAsia="x-none"/>
    </w:rPr>
  </w:style>
  <w:style w:type="character" w:customStyle="1" w:styleId="ListerChar">
    <w:name w:val="Lister Char"/>
    <w:link w:val="Lister"/>
    <w:locked/>
    <w:rsid w:val="003B4245"/>
    <w:rPr>
      <w:rFonts w:ascii="Times New Roman" w:hAnsi="Times New Roman"/>
      <w:sz w:val="24"/>
      <w:szCs w:val="28"/>
    </w:rPr>
  </w:style>
  <w:style w:type="paragraph" w:styleId="Header">
    <w:name w:val="header"/>
    <w:basedOn w:val="Normal"/>
    <w:link w:val="HeaderChar"/>
    <w:rsid w:val="00BD1BB6"/>
    <w:pPr>
      <w:tabs>
        <w:tab w:val="center" w:pos="4153"/>
        <w:tab w:val="right" w:pos="8306"/>
      </w:tabs>
    </w:pPr>
    <w:rPr>
      <w:lang w:val="x-none" w:eastAsia="x-none"/>
    </w:rPr>
  </w:style>
  <w:style w:type="character" w:customStyle="1" w:styleId="HeaderChar">
    <w:name w:val="Header Char"/>
    <w:link w:val="Header"/>
    <w:rsid w:val="00BD1BB6"/>
    <w:rPr>
      <w:rFonts w:ascii="Times New Roman" w:hAnsi="Times New Roman"/>
      <w:sz w:val="24"/>
      <w:szCs w:val="24"/>
    </w:rPr>
  </w:style>
  <w:style w:type="paragraph" w:styleId="Footer">
    <w:name w:val="footer"/>
    <w:basedOn w:val="Normal"/>
    <w:link w:val="FooterChar"/>
    <w:uiPriority w:val="99"/>
    <w:rsid w:val="00BD1BB6"/>
    <w:pPr>
      <w:tabs>
        <w:tab w:val="center" w:pos="4153"/>
        <w:tab w:val="right" w:pos="8306"/>
      </w:tabs>
    </w:pPr>
    <w:rPr>
      <w:lang w:val="x-none" w:eastAsia="x-none"/>
    </w:rPr>
  </w:style>
  <w:style w:type="character" w:customStyle="1" w:styleId="FooterChar">
    <w:name w:val="Footer Char"/>
    <w:link w:val="Footer"/>
    <w:uiPriority w:val="99"/>
    <w:rsid w:val="00BD1BB6"/>
    <w:rPr>
      <w:rFonts w:ascii="Times New Roman" w:hAnsi="Times New Roman"/>
      <w:sz w:val="24"/>
      <w:szCs w:val="24"/>
    </w:rPr>
  </w:style>
  <w:style w:type="paragraph" w:customStyle="1" w:styleId="naisf">
    <w:name w:val="naisf"/>
    <w:basedOn w:val="Normal"/>
    <w:rsid w:val="005563E1"/>
    <w:pPr>
      <w:spacing w:before="100" w:beforeAutospacing="1" w:after="100" w:afterAutospacing="1"/>
      <w:jc w:val="both"/>
    </w:pPr>
    <w:rPr>
      <w:rFonts w:eastAsia="Times New Roman"/>
      <w:lang w:val="en-GB" w:eastAsia="en-US"/>
    </w:rPr>
  </w:style>
  <w:style w:type="character" w:styleId="Hyperlink">
    <w:name w:val="Hyperlink"/>
    <w:uiPriority w:val="99"/>
    <w:unhideWhenUsed/>
    <w:rsid w:val="00964388"/>
    <w:rPr>
      <w:color w:val="0000FF"/>
      <w:u w:val="single"/>
    </w:rPr>
  </w:style>
  <w:style w:type="paragraph" w:customStyle="1" w:styleId="tv213">
    <w:name w:val="tv213"/>
    <w:basedOn w:val="Normal"/>
    <w:rsid w:val="0004220D"/>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A54805"/>
    <w:rPr>
      <w:color w:val="605E5C"/>
      <w:shd w:val="clear" w:color="auto" w:fill="E1DFDD"/>
    </w:rPr>
  </w:style>
  <w:style w:type="character" w:styleId="FollowedHyperlink">
    <w:name w:val="FollowedHyperlink"/>
    <w:basedOn w:val="DefaultParagraphFont"/>
    <w:semiHidden/>
    <w:unhideWhenUsed/>
    <w:rsid w:val="00C52356"/>
    <w:rPr>
      <w:color w:val="800080" w:themeColor="followedHyperlink"/>
      <w:u w:val="single"/>
    </w:rPr>
  </w:style>
  <w:style w:type="paragraph" w:styleId="NormalWeb">
    <w:name w:val="Normal (Web)"/>
    <w:basedOn w:val="Normal"/>
    <w:uiPriority w:val="99"/>
    <w:unhideWhenUsed/>
    <w:rsid w:val="00775878"/>
    <w:pPr>
      <w:spacing w:before="100" w:beforeAutospacing="1" w:after="100" w:afterAutospacing="1"/>
    </w:pPr>
    <w:rPr>
      <w:rFonts w:eastAsia="Times New Roman"/>
    </w:rPr>
  </w:style>
  <w:style w:type="paragraph" w:styleId="Revision">
    <w:name w:val="Revision"/>
    <w:hidden/>
    <w:uiPriority w:val="99"/>
    <w:semiHidden/>
    <w:rsid w:val="00A01F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 TargetMode="External"/><Relationship Id="rId13" Type="http://schemas.openxmlformats.org/officeDocument/2006/relationships/hyperlink" Target="https://likumi.lv/ta/id/3014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87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34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24249" TargetMode="External"/><Relationship Id="rId4" Type="http://schemas.openxmlformats.org/officeDocument/2006/relationships/settings" Target="settings.xml"/><Relationship Id="rId9" Type="http://schemas.openxmlformats.org/officeDocument/2006/relationships/hyperlink" Target="https://likumi.lv/ta/id/3242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8B9B-4F4A-4819-9297-5402DEEF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Pages>
  <Words>915</Words>
  <Characters>6887</Characters>
  <Application>Microsoft Office Word</Application>
  <DocSecurity>0</DocSecurity>
  <Lines>57</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Attiecināmās izmaksas un izmaksas apliecinošie dokumenti</vt:lpstr>
    </vt:vector>
  </TitlesOfParts>
  <Company>Hewlett-Packard Company</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vita.madjare</dc:creator>
  <cp:lastModifiedBy>Gints Kārkliņš</cp:lastModifiedBy>
  <cp:revision>11</cp:revision>
  <cp:lastPrinted>2014-09-29T10:05:00Z</cp:lastPrinted>
  <dcterms:created xsi:type="dcterms:W3CDTF">2025-09-13T19:47:00Z</dcterms:created>
  <dcterms:modified xsi:type="dcterms:W3CDTF">2025-11-25T11:43:00Z</dcterms:modified>
</cp:coreProperties>
</file>