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4DB3B" w14:textId="77777777" w:rsidR="00D459DF" w:rsidRPr="00483CAC" w:rsidRDefault="00D459DF" w:rsidP="00F33826">
      <w:pPr>
        <w:pStyle w:val="naislab"/>
        <w:spacing w:before="0" w:beforeAutospacing="0" w:after="0" w:afterAutospacing="0" w:line="240" w:lineRule="auto"/>
        <w:jc w:val="right"/>
      </w:pPr>
    </w:p>
    <w:p w14:paraId="242B6331" w14:textId="77777777" w:rsidR="00273D58" w:rsidRPr="00A31265" w:rsidRDefault="00273D58" w:rsidP="00F33826">
      <w:pPr>
        <w:spacing w:line="240" w:lineRule="auto"/>
        <w:ind w:left="720"/>
        <w:jc w:val="center"/>
        <w:rPr>
          <w:b/>
          <w:bCs/>
          <w:sz w:val="28"/>
          <w:szCs w:val="28"/>
        </w:rPr>
      </w:pPr>
      <w:r w:rsidRPr="00A31265">
        <w:rPr>
          <w:b/>
          <w:sz w:val="28"/>
          <w:szCs w:val="28"/>
        </w:rPr>
        <w:t>I</w:t>
      </w:r>
      <w:r w:rsidRPr="00A31265">
        <w:rPr>
          <w:b/>
          <w:bCs/>
          <w:sz w:val="28"/>
          <w:szCs w:val="28"/>
        </w:rPr>
        <w:t>epirkum</w:t>
      </w:r>
      <w:r w:rsidR="00D459DF">
        <w:rPr>
          <w:b/>
          <w:bCs/>
          <w:sz w:val="28"/>
          <w:szCs w:val="28"/>
        </w:rPr>
        <w:t>u</w:t>
      </w:r>
      <w:r w:rsidRPr="00A31265">
        <w:rPr>
          <w:b/>
          <w:bCs/>
          <w:sz w:val="28"/>
          <w:szCs w:val="28"/>
        </w:rPr>
        <w:t xml:space="preserve"> </w:t>
      </w:r>
      <w:smartTag w:uri="schemas-tilde-lv/tildestengine" w:element="veidnes">
        <w:smartTagPr>
          <w:attr w:name="text" w:val="plāns&#10;"/>
          <w:attr w:name="baseform" w:val="plāns"/>
          <w:attr w:name="id" w:val="-1"/>
        </w:smartTagPr>
        <w:r w:rsidRPr="00A31265">
          <w:rPr>
            <w:b/>
            <w:bCs/>
            <w:sz w:val="28"/>
            <w:szCs w:val="28"/>
          </w:rPr>
          <w:t>plāns</w:t>
        </w:r>
      </w:smartTag>
    </w:p>
    <w:p w14:paraId="2F8912E9" w14:textId="77777777" w:rsidR="00273D58" w:rsidRPr="00483CAC" w:rsidRDefault="00273D58" w:rsidP="00F33826">
      <w:pPr>
        <w:pStyle w:val="naislab"/>
        <w:spacing w:before="0" w:beforeAutospacing="0" w:after="0" w:afterAutospacing="0" w:line="240" w:lineRule="auto"/>
        <w:jc w:val="cent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29"/>
        <w:gridCol w:w="6915"/>
      </w:tblGrid>
      <w:tr w:rsidR="00CA0F43" w:rsidRPr="00666BE0" w14:paraId="5E544C00" w14:textId="77777777" w:rsidTr="002411FA">
        <w:trPr>
          <w:trHeight w:val="456"/>
        </w:trPr>
        <w:tc>
          <w:tcPr>
            <w:tcW w:w="2438" w:type="dxa"/>
            <w:shd w:val="clear" w:color="auto" w:fill="D6E3BC" w:themeFill="accent3" w:themeFillTint="66"/>
          </w:tcPr>
          <w:p w14:paraId="38A752C1" w14:textId="00929DC0" w:rsidR="00CA0F43" w:rsidRPr="00666BE0" w:rsidRDefault="00596128" w:rsidP="000833B9">
            <w:pPr>
              <w:pStyle w:val="naislab"/>
              <w:spacing w:before="0" w:beforeAutospacing="0" w:after="0" w:afterAutospacing="0" w:line="240" w:lineRule="auto"/>
              <w:rPr>
                <w:b/>
              </w:rPr>
            </w:pPr>
            <w:r>
              <w:rPr>
                <w:b/>
              </w:rPr>
              <w:t>Projekta l</w:t>
            </w:r>
            <w:r w:rsidR="00CA0F43">
              <w:rPr>
                <w:b/>
              </w:rPr>
              <w:t>īguma</w:t>
            </w:r>
            <w:r w:rsidR="00CA0F43" w:rsidRPr="00666BE0">
              <w:rPr>
                <w:b/>
              </w:rPr>
              <w:t xml:space="preserve"> Nr.</w:t>
            </w:r>
            <w:r w:rsidR="00CA0F43">
              <w:rPr>
                <w:b/>
              </w:rPr>
              <w:t xml:space="preserve"> </w:t>
            </w:r>
          </w:p>
        </w:tc>
        <w:tc>
          <w:tcPr>
            <w:tcW w:w="6972" w:type="dxa"/>
          </w:tcPr>
          <w:p w14:paraId="061E955A" w14:textId="77777777" w:rsidR="00CA0F43" w:rsidRPr="00666BE0" w:rsidRDefault="00CA0F43" w:rsidP="00F33826">
            <w:pPr>
              <w:pStyle w:val="naislab"/>
              <w:spacing w:before="0" w:beforeAutospacing="0" w:after="0" w:afterAutospacing="0" w:line="240" w:lineRule="auto"/>
            </w:pPr>
          </w:p>
        </w:tc>
      </w:tr>
      <w:tr w:rsidR="00CA0F43" w:rsidRPr="00666BE0" w14:paraId="20EF9379" w14:textId="77777777" w:rsidTr="002411FA">
        <w:trPr>
          <w:trHeight w:val="460"/>
        </w:trPr>
        <w:tc>
          <w:tcPr>
            <w:tcW w:w="2438" w:type="dxa"/>
            <w:shd w:val="clear" w:color="auto" w:fill="D6E3BC" w:themeFill="accent3" w:themeFillTint="66"/>
          </w:tcPr>
          <w:p w14:paraId="62F47F94" w14:textId="77777777" w:rsidR="00CA0F43" w:rsidRPr="00666BE0" w:rsidRDefault="00CA0F43" w:rsidP="00F33826">
            <w:pPr>
              <w:pStyle w:val="naislab"/>
              <w:spacing w:before="0" w:beforeAutospacing="0" w:after="0" w:afterAutospacing="0" w:line="240" w:lineRule="auto"/>
              <w:rPr>
                <w:b/>
              </w:rPr>
            </w:pPr>
            <w:r w:rsidRPr="00666BE0">
              <w:rPr>
                <w:b/>
              </w:rPr>
              <w:t>Finansējuma saņēmējs</w:t>
            </w:r>
          </w:p>
        </w:tc>
        <w:tc>
          <w:tcPr>
            <w:tcW w:w="6972" w:type="dxa"/>
          </w:tcPr>
          <w:p w14:paraId="58CF39F7" w14:textId="77777777" w:rsidR="00CA0F43" w:rsidRPr="00666BE0" w:rsidRDefault="00CA0F43" w:rsidP="00F33826">
            <w:pPr>
              <w:pStyle w:val="naislab"/>
              <w:spacing w:before="0" w:beforeAutospacing="0" w:after="0" w:afterAutospacing="0" w:line="240" w:lineRule="auto"/>
            </w:pPr>
          </w:p>
        </w:tc>
      </w:tr>
    </w:tbl>
    <w:p w14:paraId="21F93B29" w14:textId="77777777" w:rsidR="00273D58" w:rsidRDefault="00273D58" w:rsidP="00F33826">
      <w:pPr>
        <w:spacing w:line="240" w:lineRule="auto"/>
        <w:rPr>
          <w:b/>
          <w:bCs/>
          <w:sz w:val="20"/>
          <w:szCs w:val="20"/>
        </w:rPr>
      </w:pPr>
    </w:p>
    <w:p w14:paraId="715F6231" w14:textId="77777777" w:rsidR="004C4816" w:rsidRPr="00483CAC" w:rsidRDefault="004C4816" w:rsidP="00F33826">
      <w:pPr>
        <w:spacing w:line="240" w:lineRule="auto"/>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92"/>
        <w:gridCol w:w="4222"/>
        <w:gridCol w:w="1509"/>
        <w:gridCol w:w="1447"/>
        <w:gridCol w:w="1574"/>
      </w:tblGrid>
      <w:tr w:rsidR="00273D58" w:rsidRPr="00666BE0" w14:paraId="163CB052" w14:textId="77777777" w:rsidTr="00683902">
        <w:tc>
          <w:tcPr>
            <w:tcW w:w="595" w:type="dxa"/>
            <w:shd w:val="clear" w:color="auto" w:fill="D6E3BC" w:themeFill="accent3" w:themeFillTint="66"/>
            <w:vAlign w:val="center"/>
          </w:tcPr>
          <w:p w14:paraId="7346EAE2" w14:textId="77777777" w:rsidR="00273D58" w:rsidRPr="00666BE0" w:rsidRDefault="00273D58" w:rsidP="00CA0F43">
            <w:pPr>
              <w:spacing w:line="240" w:lineRule="auto"/>
              <w:jc w:val="center"/>
              <w:rPr>
                <w:b/>
                <w:szCs w:val="28"/>
              </w:rPr>
            </w:pPr>
            <w:r w:rsidRPr="00666BE0">
              <w:rPr>
                <w:b/>
                <w:szCs w:val="28"/>
              </w:rPr>
              <w:t>Nr</w:t>
            </w:r>
            <w:r w:rsidR="00CA0F43">
              <w:rPr>
                <w:b/>
                <w:szCs w:val="28"/>
              </w:rPr>
              <w:t>.p.k.</w:t>
            </w:r>
          </w:p>
        </w:tc>
        <w:tc>
          <w:tcPr>
            <w:tcW w:w="4253" w:type="dxa"/>
            <w:shd w:val="clear" w:color="auto" w:fill="D6E3BC" w:themeFill="accent3" w:themeFillTint="66"/>
            <w:vAlign w:val="center"/>
          </w:tcPr>
          <w:p w14:paraId="02ADCE53" w14:textId="77777777" w:rsidR="00273D58" w:rsidRPr="00666BE0" w:rsidRDefault="00273D58" w:rsidP="00CA0F43">
            <w:pPr>
              <w:spacing w:line="240" w:lineRule="auto"/>
              <w:jc w:val="center"/>
              <w:rPr>
                <w:b/>
                <w:szCs w:val="28"/>
              </w:rPr>
            </w:pPr>
            <w:r w:rsidRPr="00666BE0">
              <w:rPr>
                <w:b/>
                <w:szCs w:val="28"/>
              </w:rPr>
              <w:t>Līguma priekšmets</w:t>
            </w:r>
            <w:r w:rsidRPr="00666BE0">
              <w:rPr>
                <w:rStyle w:val="FootnoteReference"/>
                <w:b/>
                <w:szCs w:val="28"/>
              </w:rPr>
              <w:footnoteReference w:id="1"/>
            </w:r>
          </w:p>
        </w:tc>
        <w:tc>
          <w:tcPr>
            <w:tcW w:w="1520" w:type="dxa"/>
            <w:shd w:val="clear" w:color="auto" w:fill="D6E3BC" w:themeFill="accent3" w:themeFillTint="66"/>
            <w:vAlign w:val="center"/>
          </w:tcPr>
          <w:p w14:paraId="60D1011F" w14:textId="77777777" w:rsidR="00273D58" w:rsidRPr="00666BE0" w:rsidRDefault="00273D58" w:rsidP="00CA0F43">
            <w:pPr>
              <w:spacing w:line="240" w:lineRule="auto"/>
              <w:jc w:val="center"/>
              <w:rPr>
                <w:b/>
                <w:szCs w:val="28"/>
              </w:rPr>
            </w:pPr>
            <w:r w:rsidRPr="00666BE0">
              <w:rPr>
                <w:b/>
                <w:szCs w:val="28"/>
              </w:rPr>
              <w:t>Paredzamā līgumcena</w:t>
            </w:r>
            <w:r w:rsidRPr="00666BE0">
              <w:rPr>
                <w:rStyle w:val="FootnoteReference"/>
                <w:b/>
                <w:szCs w:val="28"/>
              </w:rPr>
              <w:footnoteReference w:id="2"/>
            </w:r>
          </w:p>
        </w:tc>
        <w:tc>
          <w:tcPr>
            <w:tcW w:w="1457" w:type="dxa"/>
            <w:shd w:val="clear" w:color="auto" w:fill="D6E3BC" w:themeFill="accent3" w:themeFillTint="66"/>
            <w:vAlign w:val="center"/>
          </w:tcPr>
          <w:p w14:paraId="4D24DA3B" w14:textId="49713C0C" w:rsidR="00273D58" w:rsidRPr="00666BE0" w:rsidRDefault="00D43D54" w:rsidP="00CA0F43">
            <w:pPr>
              <w:spacing w:line="240" w:lineRule="auto"/>
              <w:jc w:val="center"/>
              <w:rPr>
                <w:b/>
                <w:szCs w:val="28"/>
              </w:rPr>
            </w:pPr>
            <w:r>
              <w:rPr>
                <w:b/>
                <w:szCs w:val="28"/>
              </w:rPr>
              <w:t>Publiskā i</w:t>
            </w:r>
            <w:r w:rsidR="00273D58" w:rsidRPr="00666BE0">
              <w:rPr>
                <w:b/>
                <w:szCs w:val="28"/>
              </w:rPr>
              <w:t>epirkuma procedūra</w:t>
            </w:r>
            <w:r w:rsidR="00273D58" w:rsidRPr="00666BE0">
              <w:rPr>
                <w:rStyle w:val="FootnoteReference"/>
                <w:b/>
                <w:szCs w:val="28"/>
              </w:rPr>
              <w:footnoteReference w:id="3"/>
            </w:r>
          </w:p>
        </w:tc>
        <w:tc>
          <w:tcPr>
            <w:tcW w:w="1585" w:type="dxa"/>
            <w:shd w:val="clear" w:color="auto" w:fill="D6E3BC" w:themeFill="accent3" w:themeFillTint="66"/>
            <w:vAlign w:val="center"/>
          </w:tcPr>
          <w:p w14:paraId="19D4DD5B" w14:textId="77777777" w:rsidR="00273D58" w:rsidRPr="00666BE0" w:rsidRDefault="00273D58" w:rsidP="00CA0F43">
            <w:pPr>
              <w:spacing w:line="240" w:lineRule="auto"/>
              <w:jc w:val="center"/>
              <w:rPr>
                <w:b/>
                <w:szCs w:val="28"/>
              </w:rPr>
            </w:pPr>
            <w:r w:rsidRPr="00666BE0">
              <w:rPr>
                <w:b/>
                <w:szCs w:val="28"/>
              </w:rPr>
              <w:t>Iepirkuma procedūras izsludināšanas termiņš</w:t>
            </w:r>
          </w:p>
        </w:tc>
      </w:tr>
      <w:tr w:rsidR="00273D58" w:rsidRPr="00666BE0" w14:paraId="59B5EF18" w14:textId="77777777" w:rsidTr="00683902">
        <w:tc>
          <w:tcPr>
            <w:tcW w:w="595" w:type="dxa"/>
          </w:tcPr>
          <w:p w14:paraId="3144FF79" w14:textId="77777777" w:rsidR="00273D58" w:rsidRPr="00666BE0" w:rsidRDefault="00273D58" w:rsidP="00F33826">
            <w:pPr>
              <w:spacing w:line="240" w:lineRule="auto"/>
              <w:jc w:val="center"/>
              <w:rPr>
                <w:szCs w:val="28"/>
              </w:rPr>
            </w:pPr>
            <w:r w:rsidRPr="00666BE0">
              <w:rPr>
                <w:szCs w:val="28"/>
              </w:rPr>
              <w:t>1.</w:t>
            </w:r>
          </w:p>
        </w:tc>
        <w:tc>
          <w:tcPr>
            <w:tcW w:w="4253" w:type="dxa"/>
          </w:tcPr>
          <w:p w14:paraId="3F099BF3" w14:textId="77777777" w:rsidR="00273D58" w:rsidRPr="00666BE0" w:rsidRDefault="00273D58" w:rsidP="00F33826">
            <w:pPr>
              <w:spacing w:line="240" w:lineRule="auto"/>
              <w:jc w:val="center"/>
              <w:rPr>
                <w:b/>
                <w:szCs w:val="28"/>
              </w:rPr>
            </w:pPr>
          </w:p>
        </w:tc>
        <w:tc>
          <w:tcPr>
            <w:tcW w:w="1520" w:type="dxa"/>
          </w:tcPr>
          <w:p w14:paraId="6EB08EB1" w14:textId="77777777" w:rsidR="00273D58" w:rsidRPr="00666BE0" w:rsidRDefault="00273D58" w:rsidP="00F33826">
            <w:pPr>
              <w:spacing w:line="240" w:lineRule="auto"/>
              <w:jc w:val="center"/>
              <w:rPr>
                <w:b/>
                <w:szCs w:val="28"/>
              </w:rPr>
            </w:pPr>
          </w:p>
        </w:tc>
        <w:tc>
          <w:tcPr>
            <w:tcW w:w="1457" w:type="dxa"/>
          </w:tcPr>
          <w:p w14:paraId="065F1F34" w14:textId="77777777" w:rsidR="00273D58" w:rsidRPr="00666BE0" w:rsidRDefault="00273D58" w:rsidP="00F33826">
            <w:pPr>
              <w:spacing w:line="240" w:lineRule="auto"/>
              <w:jc w:val="center"/>
              <w:rPr>
                <w:b/>
                <w:szCs w:val="28"/>
              </w:rPr>
            </w:pPr>
          </w:p>
        </w:tc>
        <w:tc>
          <w:tcPr>
            <w:tcW w:w="1585" w:type="dxa"/>
          </w:tcPr>
          <w:p w14:paraId="0A3CCDF5" w14:textId="77777777" w:rsidR="00273D58" w:rsidRPr="00666BE0" w:rsidRDefault="00273D58" w:rsidP="00F33826">
            <w:pPr>
              <w:spacing w:line="240" w:lineRule="auto"/>
              <w:jc w:val="center"/>
              <w:rPr>
                <w:b/>
                <w:szCs w:val="28"/>
              </w:rPr>
            </w:pPr>
          </w:p>
        </w:tc>
      </w:tr>
      <w:tr w:rsidR="00273D58" w:rsidRPr="00666BE0" w14:paraId="5E2AD0F5" w14:textId="77777777" w:rsidTr="00683902">
        <w:tc>
          <w:tcPr>
            <w:tcW w:w="595" w:type="dxa"/>
          </w:tcPr>
          <w:p w14:paraId="33A24350" w14:textId="77777777" w:rsidR="00273D58" w:rsidRPr="00666BE0" w:rsidRDefault="00273D58" w:rsidP="00F33826">
            <w:pPr>
              <w:spacing w:line="240" w:lineRule="auto"/>
              <w:jc w:val="center"/>
              <w:rPr>
                <w:szCs w:val="28"/>
              </w:rPr>
            </w:pPr>
            <w:r w:rsidRPr="00666BE0">
              <w:rPr>
                <w:szCs w:val="28"/>
              </w:rPr>
              <w:t>2.</w:t>
            </w:r>
          </w:p>
        </w:tc>
        <w:tc>
          <w:tcPr>
            <w:tcW w:w="4253" w:type="dxa"/>
          </w:tcPr>
          <w:p w14:paraId="72FD1480" w14:textId="77777777" w:rsidR="00273D58" w:rsidRPr="00666BE0" w:rsidRDefault="00273D58" w:rsidP="00F33826">
            <w:pPr>
              <w:spacing w:line="240" w:lineRule="auto"/>
              <w:jc w:val="center"/>
              <w:rPr>
                <w:b/>
                <w:szCs w:val="28"/>
              </w:rPr>
            </w:pPr>
          </w:p>
        </w:tc>
        <w:tc>
          <w:tcPr>
            <w:tcW w:w="1520" w:type="dxa"/>
          </w:tcPr>
          <w:p w14:paraId="7208546E" w14:textId="77777777" w:rsidR="00273D58" w:rsidRPr="00666BE0" w:rsidRDefault="00273D58" w:rsidP="00F33826">
            <w:pPr>
              <w:spacing w:line="240" w:lineRule="auto"/>
              <w:jc w:val="center"/>
              <w:rPr>
                <w:b/>
                <w:szCs w:val="28"/>
              </w:rPr>
            </w:pPr>
          </w:p>
        </w:tc>
        <w:tc>
          <w:tcPr>
            <w:tcW w:w="1457" w:type="dxa"/>
          </w:tcPr>
          <w:p w14:paraId="449BE963" w14:textId="77777777" w:rsidR="00273D58" w:rsidRPr="00666BE0" w:rsidRDefault="00273D58" w:rsidP="00F33826">
            <w:pPr>
              <w:spacing w:line="240" w:lineRule="auto"/>
              <w:jc w:val="center"/>
              <w:rPr>
                <w:b/>
                <w:szCs w:val="28"/>
              </w:rPr>
            </w:pPr>
          </w:p>
        </w:tc>
        <w:tc>
          <w:tcPr>
            <w:tcW w:w="1585" w:type="dxa"/>
          </w:tcPr>
          <w:p w14:paraId="2C554452" w14:textId="77777777" w:rsidR="00273D58" w:rsidRPr="00666BE0" w:rsidRDefault="00273D58" w:rsidP="00F33826">
            <w:pPr>
              <w:spacing w:line="240" w:lineRule="auto"/>
              <w:jc w:val="center"/>
              <w:rPr>
                <w:b/>
                <w:szCs w:val="28"/>
              </w:rPr>
            </w:pPr>
          </w:p>
        </w:tc>
      </w:tr>
      <w:tr w:rsidR="00273D58" w:rsidRPr="00666BE0" w14:paraId="35A31939" w14:textId="77777777" w:rsidTr="00683902">
        <w:tc>
          <w:tcPr>
            <w:tcW w:w="595" w:type="dxa"/>
          </w:tcPr>
          <w:p w14:paraId="2B9F38AC" w14:textId="77777777" w:rsidR="00273D58" w:rsidRPr="00666BE0" w:rsidRDefault="00273D58" w:rsidP="00F33826">
            <w:pPr>
              <w:spacing w:line="240" w:lineRule="auto"/>
              <w:jc w:val="center"/>
              <w:rPr>
                <w:szCs w:val="28"/>
              </w:rPr>
            </w:pPr>
            <w:r w:rsidRPr="00666BE0">
              <w:rPr>
                <w:szCs w:val="28"/>
              </w:rPr>
              <w:t>3.</w:t>
            </w:r>
          </w:p>
        </w:tc>
        <w:tc>
          <w:tcPr>
            <w:tcW w:w="4253" w:type="dxa"/>
          </w:tcPr>
          <w:p w14:paraId="164DE705" w14:textId="77777777" w:rsidR="00273D58" w:rsidRPr="00666BE0" w:rsidRDefault="00273D58" w:rsidP="00F33826">
            <w:pPr>
              <w:spacing w:line="240" w:lineRule="auto"/>
              <w:jc w:val="center"/>
              <w:rPr>
                <w:b/>
                <w:szCs w:val="28"/>
              </w:rPr>
            </w:pPr>
          </w:p>
        </w:tc>
        <w:tc>
          <w:tcPr>
            <w:tcW w:w="1520" w:type="dxa"/>
          </w:tcPr>
          <w:p w14:paraId="45A457B3" w14:textId="77777777" w:rsidR="00273D58" w:rsidRPr="00666BE0" w:rsidRDefault="00273D58" w:rsidP="00F33826">
            <w:pPr>
              <w:spacing w:line="240" w:lineRule="auto"/>
              <w:jc w:val="center"/>
              <w:rPr>
                <w:b/>
                <w:szCs w:val="28"/>
              </w:rPr>
            </w:pPr>
          </w:p>
        </w:tc>
        <w:tc>
          <w:tcPr>
            <w:tcW w:w="1457" w:type="dxa"/>
          </w:tcPr>
          <w:p w14:paraId="4CC5404C" w14:textId="77777777" w:rsidR="00273D58" w:rsidRPr="00666BE0" w:rsidRDefault="00273D58" w:rsidP="00F33826">
            <w:pPr>
              <w:spacing w:line="240" w:lineRule="auto"/>
              <w:jc w:val="center"/>
              <w:rPr>
                <w:b/>
                <w:szCs w:val="28"/>
              </w:rPr>
            </w:pPr>
          </w:p>
        </w:tc>
        <w:tc>
          <w:tcPr>
            <w:tcW w:w="1585" w:type="dxa"/>
          </w:tcPr>
          <w:p w14:paraId="46408E62" w14:textId="77777777" w:rsidR="00273D58" w:rsidRPr="00666BE0" w:rsidRDefault="00273D58" w:rsidP="00F33826">
            <w:pPr>
              <w:spacing w:line="240" w:lineRule="auto"/>
              <w:jc w:val="center"/>
              <w:rPr>
                <w:b/>
                <w:szCs w:val="28"/>
              </w:rPr>
            </w:pPr>
          </w:p>
        </w:tc>
      </w:tr>
      <w:tr w:rsidR="00654674" w:rsidRPr="00666BE0" w14:paraId="6C479D75" w14:textId="77777777" w:rsidTr="00683902">
        <w:tc>
          <w:tcPr>
            <w:tcW w:w="595" w:type="dxa"/>
          </w:tcPr>
          <w:p w14:paraId="4D0B6E75" w14:textId="77777777" w:rsidR="00654674" w:rsidRPr="00666BE0" w:rsidRDefault="00654674" w:rsidP="00F33826">
            <w:pPr>
              <w:spacing w:line="240" w:lineRule="auto"/>
              <w:jc w:val="center"/>
              <w:rPr>
                <w:szCs w:val="28"/>
              </w:rPr>
            </w:pPr>
            <w:r>
              <w:rPr>
                <w:szCs w:val="28"/>
              </w:rPr>
              <w:t>...</w:t>
            </w:r>
          </w:p>
        </w:tc>
        <w:tc>
          <w:tcPr>
            <w:tcW w:w="4253" w:type="dxa"/>
          </w:tcPr>
          <w:p w14:paraId="4A9954AC" w14:textId="77777777" w:rsidR="00654674" w:rsidRPr="00666BE0" w:rsidRDefault="00654674" w:rsidP="00F33826">
            <w:pPr>
              <w:spacing w:line="240" w:lineRule="auto"/>
              <w:jc w:val="center"/>
              <w:rPr>
                <w:b/>
                <w:szCs w:val="28"/>
              </w:rPr>
            </w:pPr>
          </w:p>
        </w:tc>
        <w:tc>
          <w:tcPr>
            <w:tcW w:w="1520" w:type="dxa"/>
          </w:tcPr>
          <w:p w14:paraId="77521FF9" w14:textId="77777777" w:rsidR="00654674" w:rsidRPr="00666BE0" w:rsidRDefault="00654674" w:rsidP="00F33826">
            <w:pPr>
              <w:spacing w:line="240" w:lineRule="auto"/>
              <w:jc w:val="center"/>
              <w:rPr>
                <w:b/>
                <w:szCs w:val="28"/>
              </w:rPr>
            </w:pPr>
          </w:p>
        </w:tc>
        <w:tc>
          <w:tcPr>
            <w:tcW w:w="1457" w:type="dxa"/>
          </w:tcPr>
          <w:p w14:paraId="24A19D54" w14:textId="77777777" w:rsidR="00654674" w:rsidRPr="00666BE0" w:rsidRDefault="00654674" w:rsidP="00F33826">
            <w:pPr>
              <w:spacing w:line="240" w:lineRule="auto"/>
              <w:jc w:val="center"/>
              <w:rPr>
                <w:b/>
                <w:szCs w:val="28"/>
              </w:rPr>
            </w:pPr>
          </w:p>
        </w:tc>
        <w:tc>
          <w:tcPr>
            <w:tcW w:w="1585" w:type="dxa"/>
          </w:tcPr>
          <w:p w14:paraId="671D5B62" w14:textId="77777777" w:rsidR="00654674" w:rsidRPr="00666BE0" w:rsidRDefault="00654674" w:rsidP="00F33826">
            <w:pPr>
              <w:spacing w:line="240" w:lineRule="auto"/>
              <w:jc w:val="center"/>
              <w:rPr>
                <w:b/>
                <w:szCs w:val="28"/>
              </w:rPr>
            </w:pPr>
          </w:p>
        </w:tc>
      </w:tr>
    </w:tbl>
    <w:p w14:paraId="12709010" w14:textId="77777777" w:rsidR="00F33826" w:rsidRDefault="00F33826" w:rsidP="00F33826">
      <w:pPr>
        <w:spacing w:line="240" w:lineRule="auto"/>
        <w:rPr>
          <w:b/>
          <w:bCs/>
          <w:sz w:val="20"/>
          <w:szCs w:val="20"/>
        </w:rPr>
      </w:pPr>
    </w:p>
    <w:p w14:paraId="30554B21" w14:textId="2E056D39" w:rsidR="009558B2" w:rsidRDefault="009558B2" w:rsidP="00F33826">
      <w:pPr>
        <w:spacing w:line="240" w:lineRule="auto"/>
        <w:rPr>
          <w:i/>
          <w:iCs/>
          <w:sz w:val="20"/>
          <w:szCs w:val="20"/>
        </w:rPr>
      </w:pPr>
      <w:r w:rsidRPr="009558B2">
        <w:rPr>
          <w:i/>
          <w:iCs/>
          <w:sz w:val="20"/>
          <w:szCs w:val="20"/>
        </w:rPr>
        <w:t>Iepirkuma plānā norāda iepirkumus, ka</w:t>
      </w:r>
      <w:r w:rsidR="00BD03A6">
        <w:rPr>
          <w:i/>
          <w:iCs/>
          <w:sz w:val="20"/>
          <w:szCs w:val="20"/>
        </w:rPr>
        <w:t>s</w:t>
      </w:r>
      <w:r w:rsidRPr="009558B2">
        <w:rPr>
          <w:i/>
          <w:iCs/>
          <w:sz w:val="20"/>
          <w:szCs w:val="20"/>
        </w:rPr>
        <w:t xml:space="preserve"> ietver</w:t>
      </w:r>
      <w:r>
        <w:rPr>
          <w:i/>
          <w:iCs/>
          <w:sz w:val="20"/>
          <w:szCs w:val="20"/>
        </w:rPr>
        <w:t xml:space="preserve"> </w:t>
      </w:r>
      <w:r w:rsidR="00D321BA">
        <w:rPr>
          <w:i/>
          <w:iCs/>
          <w:sz w:val="20"/>
          <w:szCs w:val="20"/>
        </w:rPr>
        <w:t>P</w:t>
      </w:r>
      <w:r>
        <w:rPr>
          <w:i/>
          <w:iCs/>
          <w:sz w:val="20"/>
          <w:szCs w:val="20"/>
        </w:rPr>
        <w:t xml:space="preserve">rojekta </w:t>
      </w:r>
      <w:r w:rsidR="00D321BA">
        <w:rPr>
          <w:i/>
          <w:iCs/>
          <w:sz w:val="20"/>
          <w:szCs w:val="20"/>
        </w:rPr>
        <w:t>A</w:t>
      </w:r>
      <w:r w:rsidRPr="009558B2">
        <w:rPr>
          <w:i/>
          <w:iCs/>
          <w:sz w:val="20"/>
          <w:szCs w:val="20"/>
        </w:rPr>
        <w:t>ttiecinām</w:t>
      </w:r>
      <w:r w:rsidR="00596128">
        <w:rPr>
          <w:i/>
          <w:iCs/>
          <w:sz w:val="20"/>
          <w:szCs w:val="20"/>
        </w:rPr>
        <w:t>ās</w:t>
      </w:r>
      <w:r w:rsidRPr="009558B2">
        <w:rPr>
          <w:i/>
          <w:iCs/>
          <w:sz w:val="20"/>
          <w:szCs w:val="20"/>
        </w:rPr>
        <w:t xml:space="preserve"> izmaks</w:t>
      </w:r>
      <w:r w:rsidR="00596128">
        <w:rPr>
          <w:i/>
          <w:iCs/>
          <w:sz w:val="20"/>
          <w:szCs w:val="20"/>
        </w:rPr>
        <w:t>as</w:t>
      </w:r>
      <w:r w:rsidRPr="009558B2">
        <w:rPr>
          <w:i/>
          <w:iCs/>
          <w:sz w:val="20"/>
          <w:szCs w:val="20"/>
        </w:rPr>
        <w:t>.</w:t>
      </w:r>
    </w:p>
    <w:p w14:paraId="7B84F5D3" w14:textId="77777777" w:rsidR="00FF0A7B" w:rsidRDefault="00FF0A7B" w:rsidP="00F33826">
      <w:pPr>
        <w:spacing w:line="240" w:lineRule="auto"/>
        <w:rPr>
          <w:i/>
          <w:iCs/>
          <w:sz w:val="20"/>
          <w:szCs w:val="20"/>
        </w:rPr>
      </w:pPr>
    </w:p>
    <w:p w14:paraId="05D62150" w14:textId="77777777" w:rsidR="002411FA" w:rsidRDefault="002411FA" w:rsidP="00FF0A7B">
      <w:pPr>
        <w:spacing w:line="240" w:lineRule="auto"/>
        <w:rPr>
          <w:iCs/>
        </w:rPr>
      </w:pPr>
    </w:p>
    <w:p w14:paraId="692EE7DC" w14:textId="77777777" w:rsidR="002411FA" w:rsidRDefault="002411FA" w:rsidP="00FF0A7B">
      <w:pPr>
        <w:spacing w:line="240" w:lineRule="auto"/>
        <w:rPr>
          <w:iCs/>
        </w:rPr>
      </w:pPr>
      <w:bookmarkStart w:id="0" w:name="_Hlk195470961"/>
    </w:p>
    <w:p w14:paraId="5C7790DC" w14:textId="77777777" w:rsidR="002411FA" w:rsidRDefault="002411FA" w:rsidP="00FF0A7B">
      <w:pPr>
        <w:spacing w:line="240" w:lineRule="auto"/>
        <w:rPr>
          <w:iCs/>
        </w:rPr>
      </w:pPr>
    </w:p>
    <w:p w14:paraId="09C8DE8D" w14:textId="5A91ABC8" w:rsidR="00FF0A7B" w:rsidRPr="00FF0A7B" w:rsidRDefault="00FF0A7B" w:rsidP="00C84742">
      <w:pPr>
        <w:tabs>
          <w:tab w:val="center" w:pos="4536"/>
          <w:tab w:val="right" w:pos="9354"/>
        </w:tabs>
        <w:spacing w:line="240" w:lineRule="auto"/>
        <w:rPr>
          <w:sz w:val="20"/>
          <w:szCs w:val="20"/>
        </w:rPr>
      </w:pPr>
      <w:r w:rsidRPr="00FF0A7B">
        <w:rPr>
          <w:iCs/>
        </w:rPr>
        <w:t>Atbildīgā amatpersona:</w:t>
      </w:r>
      <w:r w:rsidRPr="00FF0A7B">
        <w:rPr>
          <w:iCs/>
        </w:rPr>
        <w:tab/>
      </w:r>
      <w:r w:rsidRPr="00FF0A7B">
        <w:rPr>
          <w:i/>
          <w:iCs/>
        </w:rPr>
        <w:t>(*paraksts)</w:t>
      </w:r>
      <w:r w:rsidR="00C84742">
        <w:rPr>
          <w:i/>
          <w:iCs/>
        </w:rPr>
        <w:tab/>
      </w:r>
      <w:r w:rsidRPr="00C84742">
        <w:rPr>
          <w:i/>
          <w:iCs/>
        </w:rPr>
        <w:t>(vārds, uzvārds)</w:t>
      </w:r>
      <w:r w:rsidRPr="00FF0A7B">
        <w:rPr>
          <w:i/>
          <w:iCs/>
          <w:sz w:val="22"/>
          <w:szCs w:val="22"/>
        </w:rPr>
        <w:t xml:space="preserve"> </w:t>
      </w:r>
    </w:p>
    <w:p w14:paraId="0353615A" w14:textId="77777777" w:rsidR="00CA0F43" w:rsidRPr="00CA0F43" w:rsidRDefault="00CA0F43" w:rsidP="00F33826">
      <w:pPr>
        <w:spacing w:line="240" w:lineRule="auto"/>
        <w:rPr>
          <w:b/>
          <w:bCs/>
          <w:sz w:val="20"/>
          <w:szCs w:val="20"/>
        </w:rPr>
      </w:pPr>
    </w:p>
    <w:p w14:paraId="13A12E09" w14:textId="77777777" w:rsidR="0032684F" w:rsidRDefault="0032684F" w:rsidP="0032684F">
      <w:pPr>
        <w:spacing w:line="240" w:lineRule="auto"/>
        <w:jc w:val="center"/>
      </w:pPr>
    </w:p>
    <w:p w14:paraId="2B0FF7F8" w14:textId="2FE8DE34" w:rsidR="00273D58" w:rsidRDefault="0032684F" w:rsidP="0032684F">
      <w:pPr>
        <w:spacing w:line="240" w:lineRule="auto"/>
        <w:jc w:val="center"/>
      </w:pPr>
      <w:r>
        <w:t>*</w:t>
      </w:r>
      <w:r w:rsidRPr="0032684F">
        <w:t xml:space="preserve"> DOKUMENTS IR PARAKSTĪTS AR DROŠU ELEKTRONISKO PARAKSTU UN SATUR LAIKA ZĪMOGU</w:t>
      </w:r>
      <w:bookmarkEnd w:id="0"/>
    </w:p>
    <w:p w14:paraId="7DFB342E" w14:textId="77777777" w:rsidR="004A64BF" w:rsidRDefault="004A64BF" w:rsidP="0032684F">
      <w:pPr>
        <w:spacing w:line="240" w:lineRule="auto"/>
        <w:jc w:val="center"/>
      </w:pPr>
    </w:p>
    <w:p w14:paraId="62B1B99D" w14:textId="77777777" w:rsidR="004A64BF" w:rsidRDefault="004A64BF">
      <w:pPr>
        <w:widowControl/>
        <w:adjustRightInd/>
        <w:spacing w:line="240" w:lineRule="auto"/>
        <w:jc w:val="left"/>
        <w:textAlignment w:val="auto"/>
        <w:rPr>
          <w:b/>
          <w:bCs/>
          <w:sz w:val="22"/>
          <w:szCs w:val="22"/>
        </w:rPr>
      </w:pPr>
      <w:r>
        <w:rPr>
          <w:b/>
          <w:bCs/>
          <w:sz w:val="22"/>
          <w:szCs w:val="22"/>
        </w:rPr>
        <w:br w:type="page"/>
      </w:r>
    </w:p>
    <w:p w14:paraId="55CCFCF7" w14:textId="678F95A2" w:rsidR="004A64BF" w:rsidRPr="00065F9F" w:rsidRDefault="004A64BF" w:rsidP="004A64BF">
      <w:pPr>
        <w:pStyle w:val="NormalWeb"/>
        <w:spacing w:before="0" w:beforeAutospacing="0" w:after="0" w:afterAutospacing="0"/>
        <w:jc w:val="both"/>
        <w:rPr>
          <w:sz w:val="22"/>
          <w:szCs w:val="22"/>
        </w:rPr>
      </w:pPr>
      <w:r w:rsidRPr="004A64BF">
        <w:rPr>
          <w:b/>
          <w:bCs/>
          <w:sz w:val="22"/>
          <w:szCs w:val="22"/>
        </w:rPr>
        <w:lastRenderedPageBreak/>
        <w:t xml:space="preserve">Finansējuma saņēmējs projekta īstenošanai nepieciešamo preču un pakalpojumu iegādi veic </w:t>
      </w:r>
      <w:r w:rsidR="00A50F66" w:rsidRPr="00A50F66">
        <w:rPr>
          <w:b/>
          <w:bCs/>
          <w:sz w:val="22"/>
          <w:szCs w:val="22"/>
        </w:rPr>
        <w:t>saskaņā ar publisko iepirkumu reglamentējošajiem normatīvajiem aktiem</w:t>
      </w:r>
      <w:r w:rsidRPr="00065F9F">
        <w:rPr>
          <w:sz w:val="22"/>
          <w:szCs w:val="22"/>
        </w:rPr>
        <w:t xml:space="preserve">: </w:t>
      </w:r>
    </w:p>
    <w:p w14:paraId="3411858E" w14:textId="278DC3BD" w:rsidR="004A64BF" w:rsidRPr="00065F9F" w:rsidRDefault="004A64BF" w:rsidP="004A64BF">
      <w:pPr>
        <w:pStyle w:val="NormalWeb"/>
        <w:numPr>
          <w:ilvl w:val="0"/>
          <w:numId w:val="5"/>
        </w:numPr>
        <w:spacing w:before="0" w:beforeAutospacing="0" w:after="0" w:afterAutospacing="0"/>
        <w:ind w:left="413"/>
        <w:jc w:val="both"/>
        <w:rPr>
          <w:sz w:val="22"/>
          <w:szCs w:val="22"/>
        </w:rPr>
      </w:pPr>
      <w:r w:rsidRPr="00065F9F">
        <w:rPr>
          <w:sz w:val="22"/>
          <w:szCs w:val="22"/>
        </w:rPr>
        <w:t>iepirkuma procedūra veikta saskaņā ar Ministru kabineta 2017.</w:t>
      </w:r>
      <w:r>
        <w:rPr>
          <w:sz w:val="22"/>
          <w:szCs w:val="22"/>
        </w:rPr>
        <w:t> </w:t>
      </w:r>
      <w:r w:rsidRPr="00065F9F">
        <w:rPr>
          <w:sz w:val="22"/>
          <w:szCs w:val="22"/>
        </w:rPr>
        <w:t>gada 28.</w:t>
      </w:r>
      <w:r>
        <w:rPr>
          <w:sz w:val="22"/>
          <w:szCs w:val="22"/>
        </w:rPr>
        <w:t> </w:t>
      </w:r>
      <w:r w:rsidRPr="00065F9F">
        <w:rPr>
          <w:sz w:val="22"/>
          <w:szCs w:val="22"/>
        </w:rPr>
        <w:t>februāra noteikumiem Nr.</w:t>
      </w:r>
      <w:r>
        <w:rPr>
          <w:sz w:val="22"/>
          <w:szCs w:val="22"/>
        </w:rPr>
        <w:t> </w:t>
      </w:r>
      <w:r w:rsidRPr="00065F9F">
        <w:rPr>
          <w:sz w:val="22"/>
          <w:szCs w:val="22"/>
        </w:rPr>
        <w:t>104 “</w:t>
      </w:r>
      <w:hyperlink r:id="rId7" w:history="1">
        <w:r w:rsidRPr="004A64BF">
          <w:rPr>
            <w:rStyle w:val="Hyperlink"/>
            <w:sz w:val="22"/>
            <w:szCs w:val="22"/>
          </w:rPr>
          <w:t>Noteikumi par iepirkuma procedūru un tās piemērošanas kārtību pasūtītāja finansētiem projektiem</w:t>
        </w:r>
      </w:hyperlink>
      <w:r w:rsidRPr="00065F9F">
        <w:rPr>
          <w:sz w:val="22"/>
          <w:szCs w:val="22"/>
        </w:rPr>
        <w:t>” (turpmāk – MK noteikumi Nr.</w:t>
      </w:r>
      <w:r>
        <w:rPr>
          <w:sz w:val="22"/>
          <w:szCs w:val="22"/>
        </w:rPr>
        <w:t> </w:t>
      </w:r>
      <w:r w:rsidRPr="00065F9F">
        <w:rPr>
          <w:sz w:val="22"/>
          <w:szCs w:val="22"/>
        </w:rPr>
        <w:t>104)</w:t>
      </w:r>
      <w:r>
        <w:rPr>
          <w:sz w:val="22"/>
          <w:szCs w:val="22"/>
        </w:rPr>
        <w:t>.</w:t>
      </w:r>
      <w:r w:rsidRPr="00065F9F">
        <w:rPr>
          <w:sz w:val="22"/>
          <w:szCs w:val="22"/>
        </w:rPr>
        <w:t xml:space="preserve"> </w:t>
      </w:r>
      <w:r w:rsidR="00D43D54">
        <w:rPr>
          <w:sz w:val="22"/>
          <w:szCs w:val="22"/>
          <w:u w:val="single"/>
        </w:rPr>
        <w:t>Uzrādāmā dokumentācija</w:t>
      </w:r>
      <w:r w:rsidRPr="00065F9F">
        <w:rPr>
          <w:sz w:val="22"/>
          <w:szCs w:val="22"/>
        </w:rPr>
        <w:t>:</w:t>
      </w:r>
    </w:p>
    <w:p w14:paraId="1F3D7773" w14:textId="77777777" w:rsidR="004A64BF" w:rsidRPr="00065F9F" w:rsidRDefault="004A64BF" w:rsidP="004A64BF">
      <w:pPr>
        <w:pStyle w:val="NormalWeb"/>
        <w:numPr>
          <w:ilvl w:val="0"/>
          <w:numId w:val="3"/>
        </w:numPr>
        <w:spacing w:before="0" w:beforeAutospacing="0" w:after="0" w:afterAutospacing="0"/>
        <w:ind w:left="696"/>
        <w:jc w:val="both"/>
        <w:rPr>
          <w:sz w:val="22"/>
          <w:szCs w:val="22"/>
        </w:rPr>
      </w:pPr>
      <w:r w:rsidRPr="00065F9F">
        <w:rPr>
          <w:sz w:val="22"/>
          <w:szCs w:val="22"/>
        </w:rPr>
        <w:t>dokuments par iepirkumu komisijas izveidošanu (ja tāda tika izveidota);</w:t>
      </w:r>
    </w:p>
    <w:p w14:paraId="141C289C" w14:textId="77777777" w:rsidR="004A64BF" w:rsidRPr="00A50F66" w:rsidRDefault="004A64BF" w:rsidP="004A64BF">
      <w:pPr>
        <w:pStyle w:val="NormalWeb"/>
        <w:numPr>
          <w:ilvl w:val="0"/>
          <w:numId w:val="3"/>
        </w:numPr>
        <w:spacing w:before="0" w:beforeAutospacing="0" w:after="0" w:afterAutospacing="0"/>
        <w:ind w:left="696"/>
        <w:jc w:val="both"/>
        <w:rPr>
          <w:sz w:val="22"/>
          <w:szCs w:val="22"/>
        </w:rPr>
      </w:pPr>
      <w:r w:rsidRPr="00065F9F">
        <w:rPr>
          <w:sz w:val="22"/>
          <w:szCs w:val="22"/>
        </w:rPr>
        <w:t xml:space="preserve">iepirkuma procedūras norises dokumentāciju ar pielikumiem (iepirkuma priekšmeta apraksts, nolikums (ja tāds tika sagatavots), līguma projekts (ja attiecināms), dokuments, kas apliecina, ka iepirkuma norise tika dokumentēta (dokumentā ietver vismaz informāciju par saņemtajiem piedāvājumiem un piedāvājumu salīdzinājumu, kurā norāda izraudzītā piedāvājuma priekšrocības attiecībā pret katru iesniegto piedāvājumu. Ja notikušas sarunas, norāda sarunu dalībniekus, kā arī saņemto galīgo piedāvājumu salīdzinājumu, kurā norāda izraudzītā piedāvājuma priekšrocības </w:t>
      </w:r>
      <w:r w:rsidRPr="00A50F66">
        <w:rPr>
          <w:sz w:val="22"/>
          <w:szCs w:val="22"/>
        </w:rPr>
        <w:t xml:space="preserve">attiecībā pret katru iesniegto galīgo piedāvājumu) u.c.); </w:t>
      </w:r>
    </w:p>
    <w:p w14:paraId="174E9422" w14:textId="54EDA767" w:rsidR="004A64BF" w:rsidRPr="00A50F66" w:rsidRDefault="004A64BF" w:rsidP="004A64BF">
      <w:pPr>
        <w:pStyle w:val="NormalWeb"/>
        <w:numPr>
          <w:ilvl w:val="0"/>
          <w:numId w:val="3"/>
        </w:numPr>
        <w:spacing w:before="0" w:beforeAutospacing="0" w:after="0" w:afterAutospacing="0"/>
        <w:ind w:left="696"/>
        <w:jc w:val="both"/>
        <w:rPr>
          <w:sz w:val="22"/>
          <w:szCs w:val="22"/>
        </w:rPr>
      </w:pPr>
      <w:r w:rsidRPr="00A50F66">
        <w:rPr>
          <w:sz w:val="22"/>
          <w:szCs w:val="22"/>
        </w:rPr>
        <w:t xml:space="preserve">apliecinājums par interešu konflikta neesamību (vai MK noteikumu Nr. 104 1. pielikums); </w:t>
      </w:r>
    </w:p>
    <w:p w14:paraId="52C0F268" w14:textId="77777777" w:rsidR="004A64BF" w:rsidRPr="00A50F66" w:rsidRDefault="004A64BF" w:rsidP="004A64BF">
      <w:pPr>
        <w:pStyle w:val="NormalWeb"/>
        <w:numPr>
          <w:ilvl w:val="0"/>
          <w:numId w:val="3"/>
        </w:numPr>
        <w:spacing w:before="0" w:beforeAutospacing="0" w:after="0" w:afterAutospacing="0"/>
        <w:ind w:left="696"/>
        <w:jc w:val="both"/>
        <w:rPr>
          <w:sz w:val="22"/>
          <w:szCs w:val="22"/>
        </w:rPr>
      </w:pPr>
      <w:r w:rsidRPr="00A50F66">
        <w:rPr>
          <w:sz w:val="22"/>
          <w:szCs w:val="22"/>
        </w:rPr>
        <w:t xml:space="preserve">visi saņemtie pretendentu piedāvājumi; pieņemtie lēmumi; </w:t>
      </w:r>
    </w:p>
    <w:p w14:paraId="4F2072A5" w14:textId="77777777" w:rsidR="004A64BF" w:rsidRPr="00A50F66" w:rsidRDefault="004A64BF" w:rsidP="004A64BF">
      <w:pPr>
        <w:pStyle w:val="NormalWeb"/>
        <w:numPr>
          <w:ilvl w:val="0"/>
          <w:numId w:val="3"/>
        </w:numPr>
        <w:spacing w:before="0" w:beforeAutospacing="0" w:after="0" w:afterAutospacing="0"/>
        <w:ind w:left="696"/>
        <w:jc w:val="both"/>
        <w:rPr>
          <w:sz w:val="22"/>
          <w:szCs w:val="22"/>
        </w:rPr>
      </w:pPr>
      <w:r w:rsidRPr="00A50F66">
        <w:rPr>
          <w:sz w:val="22"/>
          <w:szCs w:val="22"/>
        </w:rPr>
        <w:t xml:space="preserve">rezultātu paziņojumi piegādātājiem, kas iesnieguši piedāvājumus (tai skaitā arī sākotnējos piedāvājumus, ja tādi tika iesniegti); </w:t>
      </w:r>
    </w:p>
    <w:p w14:paraId="2ADB0F3E" w14:textId="77777777" w:rsidR="004A64BF" w:rsidRPr="00065F9F" w:rsidRDefault="004A64BF" w:rsidP="004A64BF">
      <w:pPr>
        <w:pStyle w:val="NormalWeb"/>
        <w:numPr>
          <w:ilvl w:val="0"/>
          <w:numId w:val="3"/>
        </w:numPr>
        <w:spacing w:before="0" w:beforeAutospacing="0" w:after="0" w:afterAutospacing="0"/>
        <w:ind w:left="696"/>
        <w:jc w:val="both"/>
        <w:rPr>
          <w:sz w:val="22"/>
          <w:szCs w:val="22"/>
        </w:rPr>
      </w:pPr>
      <w:r w:rsidRPr="00065F9F">
        <w:rPr>
          <w:sz w:val="22"/>
          <w:szCs w:val="22"/>
        </w:rPr>
        <w:t xml:space="preserve">noslēgtais līgums; </w:t>
      </w:r>
    </w:p>
    <w:p w14:paraId="30E47532" w14:textId="56171C05" w:rsidR="004A64BF" w:rsidRPr="00065F9F" w:rsidRDefault="004A64BF" w:rsidP="00C84742">
      <w:pPr>
        <w:pStyle w:val="NormalWeb"/>
        <w:numPr>
          <w:ilvl w:val="0"/>
          <w:numId w:val="3"/>
        </w:numPr>
        <w:spacing w:before="0" w:beforeAutospacing="0" w:after="0" w:afterAutospacing="0"/>
        <w:ind w:left="696"/>
        <w:jc w:val="both"/>
        <w:rPr>
          <w:sz w:val="22"/>
          <w:szCs w:val="22"/>
        </w:rPr>
      </w:pPr>
      <w:r w:rsidRPr="00065F9F">
        <w:rPr>
          <w:sz w:val="22"/>
          <w:szCs w:val="22"/>
        </w:rPr>
        <w:t>tehniskā specifikācija</w:t>
      </w:r>
      <w:r>
        <w:rPr>
          <w:sz w:val="22"/>
          <w:szCs w:val="22"/>
        </w:rPr>
        <w:t xml:space="preserve"> (ja attiecināms)</w:t>
      </w:r>
      <w:r w:rsidRPr="00065F9F">
        <w:rPr>
          <w:sz w:val="22"/>
          <w:szCs w:val="22"/>
        </w:rPr>
        <w:t>;</w:t>
      </w:r>
    </w:p>
    <w:p w14:paraId="075A60AD" w14:textId="241D6C25" w:rsidR="00C84742" w:rsidRPr="00065F9F" w:rsidRDefault="00C84742" w:rsidP="00C84742">
      <w:pPr>
        <w:pStyle w:val="NormalWeb"/>
        <w:numPr>
          <w:ilvl w:val="0"/>
          <w:numId w:val="4"/>
        </w:numPr>
        <w:spacing w:before="0" w:beforeAutospacing="0" w:after="0" w:afterAutospacing="0"/>
        <w:ind w:left="413"/>
        <w:jc w:val="both"/>
        <w:rPr>
          <w:sz w:val="22"/>
          <w:szCs w:val="22"/>
        </w:rPr>
      </w:pPr>
      <w:r w:rsidRPr="00065F9F">
        <w:rPr>
          <w:sz w:val="22"/>
          <w:szCs w:val="22"/>
        </w:rPr>
        <w:t xml:space="preserve">iepirkuma procedūra veikta saskaņā ar </w:t>
      </w:r>
      <w:hyperlink r:id="rId8" w:history="1">
        <w:r w:rsidRPr="004A64BF">
          <w:rPr>
            <w:rStyle w:val="Hyperlink"/>
            <w:sz w:val="22"/>
            <w:szCs w:val="22"/>
          </w:rPr>
          <w:t>Publisko iepirkumu likumu</w:t>
        </w:r>
      </w:hyperlink>
      <w:r>
        <w:rPr>
          <w:sz w:val="22"/>
          <w:szCs w:val="22"/>
        </w:rPr>
        <w:t>.</w:t>
      </w:r>
      <w:r w:rsidRPr="00065F9F">
        <w:rPr>
          <w:sz w:val="22"/>
          <w:szCs w:val="22"/>
        </w:rPr>
        <w:t xml:space="preserve"> </w:t>
      </w:r>
      <w:r w:rsidR="00D43D54">
        <w:rPr>
          <w:sz w:val="22"/>
          <w:szCs w:val="22"/>
          <w:u w:val="single"/>
        </w:rPr>
        <w:t>Uzrādāmā dokumentācija</w:t>
      </w:r>
      <w:r w:rsidRPr="00065F9F">
        <w:rPr>
          <w:sz w:val="22"/>
          <w:szCs w:val="22"/>
        </w:rPr>
        <w:t>:</w:t>
      </w:r>
    </w:p>
    <w:p w14:paraId="313B6EF1" w14:textId="77777777" w:rsidR="00C84742" w:rsidRPr="00065F9F" w:rsidRDefault="00C84742" w:rsidP="00C84742">
      <w:pPr>
        <w:pStyle w:val="NormalWeb"/>
        <w:numPr>
          <w:ilvl w:val="0"/>
          <w:numId w:val="6"/>
        </w:numPr>
        <w:spacing w:before="0" w:beforeAutospacing="0" w:after="0" w:afterAutospacing="0"/>
        <w:ind w:left="696"/>
        <w:jc w:val="both"/>
        <w:rPr>
          <w:sz w:val="22"/>
          <w:szCs w:val="22"/>
        </w:rPr>
      </w:pPr>
      <w:r w:rsidRPr="00065F9F">
        <w:rPr>
          <w:sz w:val="22"/>
          <w:szCs w:val="22"/>
        </w:rPr>
        <w:t>dokuments par iepirkuma komisijas izveidošanu;</w:t>
      </w:r>
    </w:p>
    <w:p w14:paraId="501BDFD4" w14:textId="77777777" w:rsidR="00C84742" w:rsidRPr="00065F9F" w:rsidRDefault="00C84742" w:rsidP="00C84742">
      <w:pPr>
        <w:pStyle w:val="NormalWeb"/>
        <w:numPr>
          <w:ilvl w:val="0"/>
          <w:numId w:val="6"/>
        </w:numPr>
        <w:spacing w:before="0" w:beforeAutospacing="0" w:after="0" w:afterAutospacing="0"/>
        <w:ind w:left="696"/>
        <w:jc w:val="both"/>
        <w:rPr>
          <w:sz w:val="22"/>
          <w:szCs w:val="22"/>
        </w:rPr>
      </w:pPr>
      <w:r w:rsidRPr="00065F9F">
        <w:rPr>
          <w:sz w:val="22"/>
          <w:szCs w:val="22"/>
        </w:rPr>
        <w:t>iepirkuma dokumentācija ar visiem pielikumiem;</w:t>
      </w:r>
    </w:p>
    <w:p w14:paraId="58669E68" w14:textId="77777777" w:rsidR="00C84742" w:rsidRPr="00065F9F" w:rsidRDefault="00C84742" w:rsidP="00C84742">
      <w:pPr>
        <w:pStyle w:val="NormalWeb"/>
        <w:numPr>
          <w:ilvl w:val="0"/>
          <w:numId w:val="6"/>
        </w:numPr>
        <w:spacing w:before="0" w:beforeAutospacing="0" w:after="0" w:afterAutospacing="0"/>
        <w:ind w:left="696"/>
        <w:jc w:val="both"/>
        <w:rPr>
          <w:sz w:val="22"/>
          <w:szCs w:val="22"/>
        </w:rPr>
      </w:pPr>
      <w:r w:rsidRPr="00065F9F">
        <w:rPr>
          <w:sz w:val="22"/>
          <w:szCs w:val="22"/>
        </w:rPr>
        <w:t xml:space="preserve">informāciju par iepirkuma dokumentācijā veiktajiem grozījumiem (ja tādi tika veikti); </w:t>
      </w:r>
    </w:p>
    <w:p w14:paraId="73D7E62D" w14:textId="77777777" w:rsidR="00C84742" w:rsidRPr="00065F9F" w:rsidRDefault="00C84742" w:rsidP="00C84742">
      <w:pPr>
        <w:pStyle w:val="NormalWeb"/>
        <w:numPr>
          <w:ilvl w:val="0"/>
          <w:numId w:val="6"/>
        </w:numPr>
        <w:spacing w:before="0" w:beforeAutospacing="0" w:after="0" w:afterAutospacing="0"/>
        <w:ind w:left="696"/>
        <w:jc w:val="both"/>
        <w:rPr>
          <w:sz w:val="22"/>
          <w:szCs w:val="22"/>
        </w:rPr>
      </w:pPr>
      <w:r w:rsidRPr="00065F9F">
        <w:rPr>
          <w:sz w:val="22"/>
          <w:szCs w:val="22"/>
        </w:rPr>
        <w:t>pretendentu iesūtītie jautājumi un atbildes;</w:t>
      </w:r>
    </w:p>
    <w:p w14:paraId="3CA649DA" w14:textId="77777777" w:rsidR="00C84742" w:rsidRPr="00065F9F" w:rsidRDefault="00C84742" w:rsidP="00C84742">
      <w:pPr>
        <w:pStyle w:val="NormalWeb"/>
        <w:numPr>
          <w:ilvl w:val="0"/>
          <w:numId w:val="6"/>
        </w:numPr>
        <w:spacing w:before="0" w:beforeAutospacing="0" w:after="0" w:afterAutospacing="0"/>
        <w:ind w:left="696"/>
        <w:jc w:val="both"/>
        <w:rPr>
          <w:sz w:val="22"/>
          <w:szCs w:val="22"/>
        </w:rPr>
      </w:pPr>
      <w:r w:rsidRPr="00065F9F">
        <w:rPr>
          <w:sz w:val="22"/>
          <w:szCs w:val="22"/>
        </w:rPr>
        <w:t xml:space="preserve">apliecinājumi no komisijas locekļiem, ka tie nav personīgi ieinteresēti nevienā no saņemtajiem piedāvājumiem; </w:t>
      </w:r>
    </w:p>
    <w:p w14:paraId="526C13A0" w14:textId="77777777" w:rsidR="00C84742" w:rsidRPr="00065F9F" w:rsidRDefault="00C84742" w:rsidP="00C84742">
      <w:pPr>
        <w:pStyle w:val="NormalWeb"/>
        <w:numPr>
          <w:ilvl w:val="0"/>
          <w:numId w:val="6"/>
        </w:numPr>
        <w:spacing w:before="0" w:beforeAutospacing="0" w:after="0" w:afterAutospacing="0"/>
        <w:ind w:left="696"/>
        <w:jc w:val="both"/>
        <w:rPr>
          <w:sz w:val="22"/>
          <w:szCs w:val="22"/>
        </w:rPr>
      </w:pPr>
      <w:r w:rsidRPr="00065F9F">
        <w:rPr>
          <w:sz w:val="22"/>
          <w:szCs w:val="22"/>
        </w:rPr>
        <w:t xml:space="preserve">publikācijas saistībā ar izsludināto iepirkumu (obligāti iesniedzamas gadījumā, ja tās nav publiski pieejamas interneta vietnēs); </w:t>
      </w:r>
    </w:p>
    <w:p w14:paraId="1739BC64" w14:textId="77777777" w:rsidR="00C84742" w:rsidRPr="00065F9F" w:rsidRDefault="00C84742" w:rsidP="00C84742">
      <w:pPr>
        <w:pStyle w:val="NormalWeb"/>
        <w:numPr>
          <w:ilvl w:val="0"/>
          <w:numId w:val="6"/>
        </w:numPr>
        <w:spacing w:before="0" w:beforeAutospacing="0" w:after="0" w:afterAutospacing="0"/>
        <w:ind w:left="696"/>
        <w:jc w:val="both"/>
        <w:rPr>
          <w:sz w:val="22"/>
          <w:szCs w:val="22"/>
        </w:rPr>
      </w:pPr>
      <w:r w:rsidRPr="00065F9F">
        <w:rPr>
          <w:sz w:val="22"/>
          <w:szCs w:val="22"/>
        </w:rPr>
        <w:t>vēstules pretendentiem (ja attiecināms);</w:t>
      </w:r>
    </w:p>
    <w:p w14:paraId="1CFD04F3" w14:textId="77777777" w:rsidR="00C84742" w:rsidRPr="00065F9F" w:rsidRDefault="00C84742" w:rsidP="00C84742">
      <w:pPr>
        <w:pStyle w:val="NormalWeb"/>
        <w:numPr>
          <w:ilvl w:val="0"/>
          <w:numId w:val="6"/>
        </w:numPr>
        <w:spacing w:before="0" w:beforeAutospacing="0" w:after="0" w:afterAutospacing="0"/>
        <w:ind w:left="696"/>
        <w:jc w:val="both"/>
        <w:rPr>
          <w:sz w:val="22"/>
          <w:szCs w:val="22"/>
        </w:rPr>
      </w:pPr>
      <w:r w:rsidRPr="00065F9F">
        <w:rPr>
          <w:sz w:val="22"/>
          <w:szCs w:val="22"/>
        </w:rPr>
        <w:t xml:space="preserve">iepirkuma komisijas protokoli un ziņojums; </w:t>
      </w:r>
    </w:p>
    <w:p w14:paraId="31B38FBB" w14:textId="77777777" w:rsidR="00C84742" w:rsidRDefault="00C84742" w:rsidP="00C84742">
      <w:pPr>
        <w:pStyle w:val="NormalWeb"/>
        <w:numPr>
          <w:ilvl w:val="0"/>
          <w:numId w:val="6"/>
        </w:numPr>
        <w:spacing w:before="0" w:beforeAutospacing="0" w:after="0" w:afterAutospacing="0"/>
        <w:ind w:left="696"/>
        <w:jc w:val="both"/>
        <w:rPr>
          <w:sz w:val="22"/>
          <w:szCs w:val="22"/>
        </w:rPr>
      </w:pPr>
      <w:r w:rsidRPr="00065F9F">
        <w:rPr>
          <w:sz w:val="22"/>
          <w:szCs w:val="22"/>
        </w:rPr>
        <w:t xml:space="preserve">visi saņemtie pretendentu piedāvājumi; </w:t>
      </w:r>
    </w:p>
    <w:p w14:paraId="509DCE47" w14:textId="77777777" w:rsidR="00C84742" w:rsidRPr="004A64BF" w:rsidRDefault="00C84742" w:rsidP="00C84742">
      <w:pPr>
        <w:pStyle w:val="NormalWeb"/>
        <w:numPr>
          <w:ilvl w:val="0"/>
          <w:numId w:val="6"/>
        </w:numPr>
        <w:spacing w:before="0" w:beforeAutospacing="0" w:after="0" w:afterAutospacing="0"/>
        <w:ind w:left="696"/>
        <w:jc w:val="both"/>
        <w:rPr>
          <w:sz w:val="22"/>
          <w:szCs w:val="22"/>
        </w:rPr>
      </w:pPr>
      <w:r w:rsidRPr="004A64BF">
        <w:rPr>
          <w:sz w:val="22"/>
          <w:szCs w:val="22"/>
        </w:rPr>
        <w:t xml:space="preserve">paziņojums par lēmuma pieņemšanu iepirkuma procedūras rezultātā noslēgtais līgums </w:t>
      </w:r>
      <w:r>
        <w:rPr>
          <w:sz w:val="22"/>
          <w:szCs w:val="22"/>
        </w:rPr>
        <w:t>.</w:t>
      </w:r>
    </w:p>
    <w:p w14:paraId="4770D76E" w14:textId="4E72B430" w:rsidR="004A64BF" w:rsidRPr="00065F9F" w:rsidRDefault="004A64BF" w:rsidP="004A64BF">
      <w:pPr>
        <w:pStyle w:val="NormalWeb"/>
        <w:numPr>
          <w:ilvl w:val="0"/>
          <w:numId w:val="4"/>
        </w:numPr>
        <w:spacing w:before="0" w:beforeAutospacing="0" w:after="0" w:afterAutospacing="0"/>
        <w:ind w:left="413"/>
        <w:jc w:val="both"/>
        <w:rPr>
          <w:sz w:val="22"/>
          <w:szCs w:val="22"/>
        </w:rPr>
      </w:pPr>
      <w:r w:rsidRPr="00065F9F">
        <w:rPr>
          <w:sz w:val="22"/>
          <w:szCs w:val="22"/>
        </w:rPr>
        <w:t>veikta tirgus izpēte (</w:t>
      </w:r>
      <w:proofErr w:type="spellStart"/>
      <w:r w:rsidR="00C84742">
        <w:rPr>
          <w:sz w:val="22"/>
          <w:szCs w:val="22"/>
        </w:rPr>
        <w:t>zemsliekšņa</w:t>
      </w:r>
      <w:proofErr w:type="spellEnd"/>
      <w:r w:rsidR="00C84742">
        <w:rPr>
          <w:sz w:val="22"/>
          <w:szCs w:val="22"/>
        </w:rPr>
        <w:t xml:space="preserve"> iepirkums</w:t>
      </w:r>
      <w:r w:rsidRPr="00065F9F">
        <w:rPr>
          <w:sz w:val="22"/>
          <w:szCs w:val="22"/>
        </w:rPr>
        <w:t>)</w:t>
      </w:r>
      <w:r w:rsidR="00C84742">
        <w:rPr>
          <w:sz w:val="22"/>
          <w:szCs w:val="22"/>
        </w:rPr>
        <w:t>.</w:t>
      </w:r>
      <w:r w:rsidRPr="00065F9F">
        <w:rPr>
          <w:sz w:val="22"/>
          <w:szCs w:val="22"/>
        </w:rPr>
        <w:t xml:space="preserve"> </w:t>
      </w:r>
      <w:r w:rsidR="00D43D54">
        <w:rPr>
          <w:sz w:val="22"/>
          <w:szCs w:val="22"/>
          <w:u w:val="single"/>
        </w:rPr>
        <w:t>Uzrādāmā dokumentācija</w:t>
      </w:r>
      <w:r w:rsidRPr="00065F9F">
        <w:rPr>
          <w:sz w:val="22"/>
          <w:szCs w:val="22"/>
        </w:rPr>
        <w:t xml:space="preserve">:  </w:t>
      </w:r>
    </w:p>
    <w:p w14:paraId="4F056FC0" w14:textId="7A3B9045" w:rsidR="004A64BF" w:rsidRPr="00065F9F" w:rsidRDefault="004A64BF" w:rsidP="004A64BF">
      <w:pPr>
        <w:pStyle w:val="NormalWeb"/>
        <w:numPr>
          <w:ilvl w:val="0"/>
          <w:numId w:val="2"/>
        </w:numPr>
        <w:spacing w:before="0" w:beforeAutospacing="0" w:after="0" w:afterAutospacing="0"/>
        <w:jc w:val="both"/>
        <w:rPr>
          <w:sz w:val="22"/>
          <w:szCs w:val="22"/>
        </w:rPr>
      </w:pPr>
      <w:r w:rsidRPr="00065F9F">
        <w:rPr>
          <w:sz w:val="22"/>
          <w:szCs w:val="22"/>
        </w:rPr>
        <w:t xml:space="preserve">sarakstes ar piegādātājiem izdrukas (gan </w:t>
      </w:r>
      <w:r>
        <w:rPr>
          <w:sz w:val="22"/>
          <w:szCs w:val="22"/>
        </w:rPr>
        <w:t>F</w:t>
      </w:r>
      <w:r w:rsidRPr="00065F9F">
        <w:rPr>
          <w:sz w:val="22"/>
          <w:szCs w:val="22"/>
        </w:rPr>
        <w:t xml:space="preserve">inansējuma saņēmēja sūtītā informācija, gan piegādātāju sniegtās atbildes); </w:t>
      </w:r>
    </w:p>
    <w:p w14:paraId="1E9CFBF5" w14:textId="77777777" w:rsidR="004A64BF" w:rsidRPr="00065F9F" w:rsidRDefault="004A64BF" w:rsidP="004A64BF">
      <w:pPr>
        <w:pStyle w:val="NormalWeb"/>
        <w:numPr>
          <w:ilvl w:val="0"/>
          <w:numId w:val="2"/>
        </w:numPr>
        <w:spacing w:before="0" w:beforeAutospacing="0" w:after="0" w:afterAutospacing="0"/>
        <w:jc w:val="both"/>
        <w:rPr>
          <w:sz w:val="22"/>
          <w:szCs w:val="22"/>
        </w:rPr>
      </w:pPr>
      <w:r w:rsidRPr="00065F9F">
        <w:rPr>
          <w:sz w:val="22"/>
          <w:szCs w:val="22"/>
        </w:rPr>
        <w:t xml:space="preserve">ja ir veikta telefonaptauja vai piegādātāji ir aptaujāti klātienē – protokols, apkopojums vai cits dokuments brīvā formā, kurā tiek norādīts reģistrētais telefonsarunas vai aptaujas klātienē laiks, piegādātāja vārds un uzvārds (nosaukums, ja piegādātājs ir juridiska persona), piedāvātā cena, kā arī apliecinājums, ka piegādātājs ir informēts par būtiskākajiem līguma izpildei izvirzītajiem nosacījumiem; </w:t>
      </w:r>
    </w:p>
    <w:p w14:paraId="077AAC5E" w14:textId="2FE61E44" w:rsidR="004A64BF" w:rsidRPr="00065F9F" w:rsidRDefault="004A64BF" w:rsidP="004A64BF">
      <w:pPr>
        <w:pStyle w:val="NormalWeb"/>
        <w:numPr>
          <w:ilvl w:val="0"/>
          <w:numId w:val="2"/>
        </w:numPr>
        <w:spacing w:before="0" w:beforeAutospacing="0" w:after="0" w:afterAutospacing="0"/>
        <w:jc w:val="both"/>
        <w:rPr>
          <w:sz w:val="22"/>
          <w:szCs w:val="22"/>
        </w:rPr>
      </w:pPr>
      <w:r w:rsidRPr="00065F9F">
        <w:rPr>
          <w:sz w:val="22"/>
          <w:szCs w:val="22"/>
        </w:rPr>
        <w:t xml:space="preserve">ja </w:t>
      </w:r>
      <w:proofErr w:type="spellStart"/>
      <w:r w:rsidRPr="00065F9F">
        <w:rPr>
          <w:sz w:val="22"/>
          <w:szCs w:val="22"/>
        </w:rPr>
        <w:t>priekšizpēte</w:t>
      </w:r>
      <w:proofErr w:type="spellEnd"/>
      <w:r w:rsidRPr="00065F9F">
        <w:rPr>
          <w:sz w:val="22"/>
          <w:szCs w:val="22"/>
        </w:rPr>
        <w:t xml:space="preserve"> veikta, izmantojot internetā publiski pieejamos piegādātāju piedāvājumus – izdrukas no </w:t>
      </w:r>
      <w:r w:rsidR="00C84742">
        <w:rPr>
          <w:sz w:val="22"/>
          <w:szCs w:val="22"/>
        </w:rPr>
        <w:t>tīmekļ</w:t>
      </w:r>
      <w:r w:rsidRPr="00065F9F">
        <w:rPr>
          <w:sz w:val="22"/>
          <w:szCs w:val="22"/>
        </w:rPr>
        <w:t xml:space="preserve">vietnes, kurā piedāvājumi ievietoti. Izdrukai jāsatur norāde uz aplūkotās </w:t>
      </w:r>
      <w:r w:rsidR="00C84742">
        <w:rPr>
          <w:sz w:val="22"/>
          <w:szCs w:val="22"/>
        </w:rPr>
        <w:t>tīmekļ</w:t>
      </w:r>
      <w:r w:rsidR="00C84742" w:rsidRPr="00065F9F">
        <w:rPr>
          <w:sz w:val="22"/>
          <w:szCs w:val="22"/>
        </w:rPr>
        <w:t xml:space="preserve">vietnes </w:t>
      </w:r>
      <w:r w:rsidRPr="00065F9F">
        <w:rPr>
          <w:sz w:val="22"/>
          <w:szCs w:val="22"/>
        </w:rPr>
        <w:t xml:space="preserve">adresi, kā arī datums, kad veikta piedāvājuma apskate; </w:t>
      </w:r>
    </w:p>
    <w:p w14:paraId="083334C5" w14:textId="77777777" w:rsidR="004A64BF" w:rsidRPr="00065F9F" w:rsidRDefault="004A64BF" w:rsidP="004A64BF">
      <w:pPr>
        <w:pStyle w:val="NormalWeb"/>
        <w:numPr>
          <w:ilvl w:val="0"/>
          <w:numId w:val="2"/>
        </w:numPr>
        <w:spacing w:before="0" w:beforeAutospacing="0" w:after="0" w:afterAutospacing="0"/>
        <w:jc w:val="both"/>
        <w:rPr>
          <w:sz w:val="22"/>
          <w:szCs w:val="22"/>
        </w:rPr>
      </w:pPr>
      <w:r w:rsidRPr="00065F9F">
        <w:rPr>
          <w:sz w:val="22"/>
          <w:szCs w:val="22"/>
        </w:rPr>
        <w:t xml:space="preserve">brošūras, bukleti, katalogi u.c. veida dokumenti, kuros ir ietveri piegādātāju piedāvājumi; </w:t>
      </w:r>
    </w:p>
    <w:p w14:paraId="2F7C19E6" w14:textId="77777777" w:rsidR="004A64BF" w:rsidRPr="00065F9F" w:rsidRDefault="004A64BF" w:rsidP="004A64BF">
      <w:pPr>
        <w:pStyle w:val="NormalWeb"/>
        <w:numPr>
          <w:ilvl w:val="0"/>
          <w:numId w:val="2"/>
        </w:numPr>
        <w:spacing w:before="0" w:beforeAutospacing="0" w:after="0" w:afterAutospacing="0"/>
        <w:jc w:val="both"/>
        <w:rPr>
          <w:sz w:val="22"/>
          <w:szCs w:val="22"/>
        </w:rPr>
      </w:pPr>
      <w:r w:rsidRPr="00065F9F">
        <w:rPr>
          <w:sz w:val="22"/>
          <w:szCs w:val="22"/>
        </w:rPr>
        <w:t>eksperta slēdziens vai atzinums par iespējamām izmaksām;</w:t>
      </w:r>
    </w:p>
    <w:p w14:paraId="46FA4619" w14:textId="77777777" w:rsidR="004A64BF" w:rsidRPr="00065F9F" w:rsidRDefault="004A64BF" w:rsidP="004A64BF">
      <w:pPr>
        <w:pStyle w:val="NormalWeb"/>
        <w:numPr>
          <w:ilvl w:val="0"/>
          <w:numId w:val="2"/>
        </w:numPr>
        <w:spacing w:before="0" w:beforeAutospacing="0" w:after="0" w:afterAutospacing="0"/>
        <w:jc w:val="both"/>
        <w:rPr>
          <w:sz w:val="22"/>
          <w:szCs w:val="22"/>
        </w:rPr>
      </w:pPr>
      <w:r w:rsidRPr="00065F9F">
        <w:rPr>
          <w:sz w:val="22"/>
          <w:szCs w:val="22"/>
        </w:rPr>
        <w:t xml:space="preserve">pasūtītāja vai citu piegādātāju uzkrātā informācija, pieredze vai iepriekš veiktā izpēte par iespējamām izmaksām, kas ir attiecīgi dokumentēta; </w:t>
      </w:r>
    </w:p>
    <w:p w14:paraId="0A601A1B" w14:textId="77777777" w:rsidR="004A64BF" w:rsidRPr="00065F9F" w:rsidRDefault="004A64BF" w:rsidP="004A64BF">
      <w:pPr>
        <w:pStyle w:val="NormalWeb"/>
        <w:numPr>
          <w:ilvl w:val="0"/>
          <w:numId w:val="2"/>
        </w:numPr>
        <w:spacing w:before="0" w:beforeAutospacing="0" w:after="0" w:afterAutospacing="0"/>
        <w:jc w:val="both"/>
        <w:rPr>
          <w:sz w:val="22"/>
          <w:szCs w:val="22"/>
        </w:rPr>
      </w:pPr>
      <w:r w:rsidRPr="00065F9F">
        <w:rPr>
          <w:sz w:val="22"/>
          <w:szCs w:val="22"/>
        </w:rPr>
        <w:t xml:space="preserve">atbildīgā darbinieka atskaite (ziņojums) vai iepirkuma komisijas protokols ar situācijas </w:t>
      </w:r>
      <w:proofErr w:type="spellStart"/>
      <w:r w:rsidRPr="00065F9F">
        <w:rPr>
          <w:sz w:val="22"/>
          <w:szCs w:val="22"/>
        </w:rPr>
        <w:t>izvērtējumu</w:t>
      </w:r>
      <w:proofErr w:type="spellEnd"/>
      <w:r w:rsidRPr="00065F9F">
        <w:rPr>
          <w:sz w:val="22"/>
          <w:szCs w:val="22"/>
        </w:rPr>
        <w:t xml:space="preserve"> un lēmumu;</w:t>
      </w:r>
    </w:p>
    <w:p w14:paraId="23D63C4D" w14:textId="52860B2E" w:rsidR="004A64BF" w:rsidRPr="00065F9F" w:rsidRDefault="004A64BF" w:rsidP="004A64BF">
      <w:pPr>
        <w:pStyle w:val="NormalWeb"/>
        <w:numPr>
          <w:ilvl w:val="0"/>
          <w:numId w:val="2"/>
        </w:numPr>
        <w:spacing w:before="0" w:beforeAutospacing="0" w:after="0" w:afterAutospacing="0"/>
        <w:jc w:val="both"/>
        <w:rPr>
          <w:sz w:val="22"/>
          <w:szCs w:val="22"/>
        </w:rPr>
      </w:pPr>
      <w:r w:rsidRPr="00065F9F">
        <w:rPr>
          <w:sz w:val="22"/>
          <w:szCs w:val="22"/>
        </w:rPr>
        <w:t>apliecinājums par interešu konflikta neesamību ar pakalpojuma sniedzēju/piegādātāju, ar kuru noslēgts līgums (kā piemērs izmantojams MK noteikumu Nr.</w:t>
      </w:r>
      <w:r w:rsidR="00C84742">
        <w:rPr>
          <w:sz w:val="22"/>
          <w:szCs w:val="22"/>
        </w:rPr>
        <w:t> </w:t>
      </w:r>
      <w:r w:rsidRPr="00065F9F">
        <w:rPr>
          <w:sz w:val="22"/>
          <w:szCs w:val="22"/>
        </w:rPr>
        <w:t>104 1.</w:t>
      </w:r>
      <w:r w:rsidR="00C84742">
        <w:rPr>
          <w:sz w:val="22"/>
          <w:szCs w:val="22"/>
        </w:rPr>
        <w:t> </w:t>
      </w:r>
      <w:r w:rsidRPr="00065F9F">
        <w:rPr>
          <w:sz w:val="22"/>
          <w:szCs w:val="22"/>
        </w:rPr>
        <w:t>pielikums)</w:t>
      </w:r>
      <w:r w:rsidR="00C84742">
        <w:rPr>
          <w:sz w:val="22"/>
          <w:szCs w:val="22"/>
        </w:rPr>
        <w:t>.</w:t>
      </w:r>
    </w:p>
    <w:p w14:paraId="6CD41C2E" w14:textId="77777777" w:rsidR="004A64BF" w:rsidRPr="00065F9F" w:rsidRDefault="004A64BF" w:rsidP="004A64BF">
      <w:pPr>
        <w:pStyle w:val="NormalWeb"/>
        <w:spacing w:before="0" w:beforeAutospacing="0" w:after="0" w:afterAutospacing="0"/>
        <w:ind w:left="720"/>
        <w:jc w:val="both"/>
        <w:rPr>
          <w:sz w:val="22"/>
          <w:szCs w:val="22"/>
        </w:rPr>
      </w:pPr>
    </w:p>
    <w:p w14:paraId="65988B24" w14:textId="1960AE9A" w:rsidR="004A64BF" w:rsidRPr="0032684F" w:rsidRDefault="004A64BF" w:rsidP="00C84742">
      <w:pPr>
        <w:spacing w:line="240" w:lineRule="auto"/>
      </w:pPr>
    </w:p>
    <w:sectPr w:rsidR="004A64BF" w:rsidRPr="0032684F" w:rsidSect="00CA0F43">
      <w:headerReference w:type="even" r:id="rId9"/>
      <w:headerReference w:type="default" r:id="rId10"/>
      <w:headerReference w:type="first" r:id="rId11"/>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0F6BE" w14:textId="77777777" w:rsidR="000E7CAC" w:rsidRDefault="000E7CAC">
      <w:r>
        <w:separator/>
      </w:r>
    </w:p>
  </w:endnote>
  <w:endnote w:type="continuationSeparator" w:id="0">
    <w:p w14:paraId="5857F0B3" w14:textId="77777777" w:rsidR="000E7CAC" w:rsidRDefault="000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B6FB" w14:textId="77777777" w:rsidR="000E7CAC" w:rsidRDefault="000E7CAC">
      <w:r>
        <w:separator/>
      </w:r>
    </w:p>
  </w:footnote>
  <w:footnote w:type="continuationSeparator" w:id="0">
    <w:p w14:paraId="663D978E" w14:textId="77777777" w:rsidR="000E7CAC" w:rsidRDefault="000E7CAC">
      <w:r>
        <w:continuationSeparator/>
      </w:r>
    </w:p>
  </w:footnote>
  <w:footnote w:id="1">
    <w:p w14:paraId="5EF7CDC6" w14:textId="152B6100" w:rsidR="00E86EE8" w:rsidRPr="00CA0F43" w:rsidRDefault="00E86EE8" w:rsidP="00F33826">
      <w:pPr>
        <w:pStyle w:val="FootnoteText"/>
        <w:spacing w:line="240" w:lineRule="auto"/>
        <w:rPr>
          <w:sz w:val="16"/>
          <w:szCs w:val="16"/>
        </w:rPr>
      </w:pPr>
      <w:r w:rsidRPr="00CA0F43">
        <w:rPr>
          <w:rStyle w:val="FootnoteReference"/>
          <w:sz w:val="16"/>
          <w:szCs w:val="16"/>
        </w:rPr>
        <w:footnoteRef/>
      </w:r>
      <w:r w:rsidRPr="00CA0F43">
        <w:rPr>
          <w:sz w:val="16"/>
          <w:szCs w:val="16"/>
        </w:rPr>
        <w:t xml:space="preserve"> Preču un pakalpojumu klāsts, par kuriem paredzēts slēgt iepirkuma līgumu</w:t>
      </w:r>
      <w:r w:rsidR="00C02220" w:rsidRPr="00CA0F43">
        <w:rPr>
          <w:sz w:val="16"/>
          <w:szCs w:val="16"/>
        </w:rPr>
        <w:t>.</w:t>
      </w:r>
    </w:p>
  </w:footnote>
  <w:footnote w:id="2">
    <w:p w14:paraId="639E0B21" w14:textId="77777777" w:rsidR="00E86EE8" w:rsidRPr="00CA0F43" w:rsidRDefault="00E86EE8" w:rsidP="00F33826">
      <w:pPr>
        <w:pStyle w:val="FootnoteText"/>
        <w:spacing w:line="240" w:lineRule="auto"/>
        <w:rPr>
          <w:sz w:val="16"/>
          <w:szCs w:val="16"/>
        </w:rPr>
      </w:pPr>
      <w:r w:rsidRPr="00CA0F43">
        <w:rPr>
          <w:rStyle w:val="FootnoteReference"/>
          <w:sz w:val="16"/>
          <w:szCs w:val="16"/>
        </w:rPr>
        <w:footnoteRef/>
      </w:r>
      <w:r w:rsidRPr="00CA0F43">
        <w:rPr>
          <w:sz w:val="16"/>
          <w:szCs w:val="16"/>
        </w:rPr>
        <w:t xml:space="preserve"> Plānotā </w:t>
      </w:r>
      <w:r w:rsidR="00211AD3" w:rsidRPr="00CA0F43">
        <w:rPr>
          <w:sz w:val="16"/>
          <w:szCs w:val="16"/>
        </w:rPr>
        <w:t xml:space="preserve">vai faktiskā (ja līgums jau noslēgts) </w:t>
      </w:r>
      <w:r w:rsidRPr="00CA0F43">
        <w:rPr>
          <w:sz w:val="16"/>
          <w:szCs w:val="16"/>
        </w:rPr>
        <w:t>līguma summa, ņemot vērā visu iepirkuma līguma darbības laiku</w:t>
      </w:r>
    </w:p>
  </w:footnote>
  <w:footnote w:id="3">
    <w:p w14:paraId="411DE7E6" w14:textId="7BBFC664" w:rsidR="00E86EE8" w:rsidRDefault="00E86EE8" w:rsidP="000833B9">
      <w:pPr>
        <w:pStyle w:val="FootnoteText"/>
        <w:spacing w:line="240" w:lineRule="auto"/>
        <w:rPr>
          <w:sz w:val="16"/>
          <w:szCs w:val="16"/>
        </w:rPr>
      </w:pPr>
      <w:r w:rsidRPr="00CA0F43">
        <w:rPr>
          <w:rStyle w:val="FootnoteReference"/>
          <w:sz w:val="16"/>
          <w:szCs w:val="16"/>
        </w:rPr>
        <w:footnoteRef/>
      </w:r>
      <w:r w:rsidR="00211AD3" w:rsidRPr="00CA0F43">
        <w:rPr>
          <w:sz w:val="16"/>
          <w:szCs w:val="16"/>
        </w:rPr>
        <w:t xml:space="preserve"> </w:t>
      </w:r>
      <w:r w:rsidR="00211AD3" w:rsidRPr="009D4885">
        <w:rPr>
          <w:sz w:val="16"/>
          <w:szCs w:val="16"/>
        </w:rPr>
        <w:t>Plānotā</w:t>
      </w:r>
      <w:r w:rsidRPr="009D4885">
        <w:rPr>
          <w:sz w:val="16"/>
          <w:szCs w:val="16"/>
        </w:rPr>
        <w:t xml:space="preserve"> iepirkuma procedūra</w:t>
      </w:r>
      <w:r w:rsidR="00211AD3" w:rsidRPr="009D4885">
        <w:rPr>
          <w:sz w:val="16"/>
          <w:szCs w:val="16"/>
        </w:rPr>
        <w:t xml:space="preserve"> vai faktiskā (ja iepirkums jau veikts)</w:t>
      </w:r>
      <w:r w:rsidRPr="009D4885">
        <w:rPr>
          <w:sz w:val="16"/>
          <w:szCs w:val="16"/>
        </w:rPr>
        <w:t xml:space="preserve"> atbilstoši normatīvo aktu prasībām publiskā iepirkuma jomā</w:t>
      </w:r>
      <w:r w:rsidR="003A7294" w:rsidRPr="009D4885">
        <w:rPr>
          <w:sz w:val="16"/>
          <w:szCs w:val="16"/>
        </w:rPr>
        <w:t xml:space="preserve"> (pakalpojuma līgumiem vai piegāžu līgumiem zem 1000 </w:t>
      </w:r>
      <w:r w:rsidR="003A7294" w:rsidRPr="009D4885">
        <w:rPr>
          <w:i/>
          <w:iCs/>
          <w:sz w:val="16"/>
          <w:szCs w:val="16"/>
        </w:rPr>
        <w:t>euro</w:t>
      </w:r>
      <w:r w:rsidR="003A7294" w:rsidRPr="009D4885">
        <w:rPr>
          <w:sz w:val="16"/>
          <w:szCs w:val="16"/>
        </w:rPr>
        <w:t xml:space="preserve"> bez PVN gadā nav nepieciešams veikt iepirkuma procedūras)</w:t>
      </w:r>
      <w:r w:rsidRPr="009D4885">
        <w:rPr>
          <w:sz w:val="16"/>
          <w:szCs w:val="16"/>
        </w:rPr>
        <w:t xml:space="preserve"> vai jānorāda, ka iepirkuma procedūra netiks veikta</w:t>
      </w:r>
      <w:r w:rsidRPr="00CA0F43">
        <w:rPr>
          <w:sz w:val="16"/>
          <w:szCs w:val="16"/>
        </w:rPr>
        <w:t>.</w:t>
      </w:r>
    </w:p>
    <w:p w14:paraId="57A97698" w14:textId="77777777" w:rsidR="004A64BF" w:rsidRDefault="004A64BF" w:rsidP="000833B9">
      <w:pPr>
        <w:pStyle w:val="FootnoteText"/>
        <w:spacing w:line="240" w:lineRule="auto"/>
        <w:rPr>
          <w:sz w:val="16"/>
          <w:szCs w:val="16"/>
        </w:rPr>
      </w:pPr>
    </w:p>
    <w:p w14:paraId="3A5A3C66" w14:textId="77777777" w:rsidR="004A64BF" w:rsidRPr="00CA0F43" w:rsidRDefault="004A64BF" w:rsidP="000833B9">
      <w:pPr>
        <w:pStyle w:val="FootnoteText"/>
        <w:spacing w:line="240" w:lineRule="auto"/>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6C05" w14:textId="77777777" w:rsidR="00E86EE8" w:rsidRDefault="00E86E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D3D761" w14:textId="77777777" w:rsidR="00E86EE8" w:rsidRDefault="00E86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D944" w14:textId="77777777" w:rsidR="00E86EE8" w:rsidRDefault="00E86E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8EDC8C" w14:textId="77777777" w:rsidR="00E86EE8" w:rsidRDefault="00E86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2463" w14:textId="35605E4D" w:rsidR="00CA0F43" w:rsidRPr="002B324E" w:rsidRDefault="003E7D90" w:rsidP="00CA0F43">
    <w:pPr>
      <w:spacing w:line="240" w:lineRule="auto"/>
      <w:jc w:val="right"/>
      <w:rPr>
        <w:sz w:val="16"/>
        <w:szCs w:val="16"/>
      </w:rPr>
    </w:pPr>
    <w:r>
      <w:rPr>
        <w:sz w:val="16"/>
        <w:szCs w:val="16"/>
      </w:rPr>
      <w:t>“</w:t>
    </w:r>
    <w:r w:rsidR="00430C82" w:rsidRPr="00430C82">
      <w:rPr>
        <w:sz w:val="16"/>
        <w:szCs w:val="16"/>
      </w:rPr>
      <w:t>Sabiedrības izpratnes veicināšana par klimatneitralitātes un klimatnoturības nozīmi un iespējām</w:t>
    </w:r>
    <w:r>
      <w:rPr>
        <w:sz w:val="16"/>
        <w:szCs w:val="16"/>
      </w:rPr>
      <w:t>”</w:t>
    </w:r>
  </w:p>
  <w:p w14:paraId="7D40A933" w14:textId="717A3126" w:rsidR="00CA0F43" w:rsidRDefault="00CA0F43" w:rsidP="00CA0F43">
    <w:pPr>
      <w:spacing w:line="240" w:lineRule="auto"/>
      <w:jc w:val="right"/>
      <w:rPr>
        <w:sz w:val="16"/>
        <w:szCs w:val="16"/>
      </w:rPr>
    </w:pPr>
    <w:r w:rsidRPr="002B324E">
      <w:rPr>
        <w:sz w:val="16"/>
        <w:szCs w:val="16"/>
      </w:rPr>
      <w:t>Līgum</w:t>
    </w:r>
    <w:r w:rsidR="004D2CD3">
      <w:rPr>
        <w:sz w:val="16"/>
        <w:szCs w:val="16"/>
      </w:rPr>
      <w:t>a</w:t>
    </w:r>
    <w:r w:rsidRPr="002B324E">
      <w:rPr>
        <w:sz w:val="16"/>
        <w:szCs w:val="16"/>
      </w:rPr>
      <w:t xml:space="preserve"> par projekta ī</w:t>
    </w:r>
    <w:r>
      <w:rPr>
        <w:sz w:val="16"/>
        <w:szCs w:val="16"/>
      </w:rPr>
      <w:t>stenošanu</w:t>
    </w:r>
    <w:r w:rsidR="004D2CD3">
      <w:rPr>
        <w:sz w:val="16"/>
        <w:szCs w:val="16"/>
      </w:rPr>
      <w:t xml:space="preserve"> vispārīgo noteikumu</w:t>
    </w:r>
    <w:r>
      <w:rPr>
        <w:sz w:val="16"/>
        <w:szCs w:val="16"/>
      </w:rPr>
      <w:t xml:space="preserve"> 1. pielikums – Iepirkum</w:t>
    </w:r>
    <w:r w:rsidR="00235967">
      <w:rPr>
        <w:sz w:val="16"/>
        <w:szCs w:val="16"/>
      </w:rPr>
      <w:t>u</w:t>
    </w:r>
    <w:r>
      <w:rPr>
        <w:sz w:val="16"/>
        <w:szCs w:val="16"/>
      </w:rPr>
      <w:t xml:space="preserve"> plāns</w:t>
    </w:r>
  </w:p>
  <w:p w14:paraId="34A8156B" w14:textId="77777777" w:rsidR="00CA0F43" w:rsidRPr="00CA0F43" w:rsidRDefault="00CA0F43" w:rsidP="00CA0F43">
    <w:pPr>
      <w:spacing w:line="240" w:lineRule="auto"/>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F0C39"/>
    <w:multiLevelType w:val="hybridMultilevel"/>
    <w:tmpl w:val="2A902BEC"/>
    <w:lvl w:ilvl="0" w:tplc="0426000D">
      <w:start w:val="1"/>
      <w:numFmt w:val="bullet"/>
      <w:lvlText w:val=""/>
      <w:lvlJc w:val="left"/>
      <w:pPr>
        <w:ind w:left="1133" w:hanging="360"/>
      </w:pPr>
      <w:rPr>
        <w:rFonts w:ascii="Wingdings" w:hAnsi="Wingdings" w:hint="default"/>
      </w:rPr>
    </w:lvl>
    <w:lvl w:ilvl="1" w:tplc="04260003" w:tentative="1">
      <w:start w:val="1"/>
      <w:numFmt w:val="bullet"/>
      <w:lvlText w:val="o"/>
      <w:lvlJc w:val="left"/>
      <w:pPr>
        <w:ind w:left="1853" w:hanging="360"/>
      </w:pPr>
      <w:rPr>
        <w:rFonts w:ascii="Courier New" w:hAnsi="Courier New" w:cs="Courier New" w:hint="default"/>
      </w:rPr>
    </w:lvl>
    <w:lvl w:ilvl="2" w:tplc="04260005" w:tentative="1">
      <w:start w:val="1"/>
      <w:numFmt w:val="bullet"/>
      <w:lvlText w:val=""/>
      <w:lvlJc w:val="left"/>
      <w:pPr>
        <w:ind w:left="2573" w:hanging="360"/>
      </w:pPr>
      <w:rPr>
        <w:rFonts w:ascii="Wingdings" w:hAnsi="Wingdings" w:hint="default"/>
      </w:rPr>
    </w:lvl>
    <w:lvl w:ilvl="3" w:tplc="04260001" w:tentative="1">
      <w:start w:val="1"/>
      <w:numFmt w:val="bullet"/>
      <w:lvlText w:val=""/>
      <w:lvlJc w:val="left"/>
      <w:pPr>
        <w:ind w:left="3293" w:hanging="360"/>
      </w:pPr>
      <w:rPr>
        <w:rFonts w:ascii="Symbol" w:hAnsi="Symbol" w:hint="default"/>
      </w:rPr>
    </w:lvl>
    <w:lvl w:ilvl="4" w:tplc="04260003" w:tentative="1">
      <w:start w:val="1"/>
      <w:numFmt w:val="bullet"/>
      <w:lvlText w:val="o"/>
      <w:lvlJc w:val="left"/>
      <w:pPr>
        <w:ind w:left="4013" w:hanging="360"/>
      </w:pPr>
      <w:rPr>
        <w:rFonts w:ascii="Courier New" w:hAnsi="Courier New" w:cs="Courier New" w:hint="default"/>
      </w:rPr>
    </w:lvl>
    <w:lvl w:ilvl="5" w:tplc="04260005" w:tentative="1">
      <w:start w:val="1"/>
      <w:numFmt w:val="bullet"/>
      <w:lvlText w:val=""/>
      <w:lvlJc w:val="left"/>
      <w:pPr>
        <w:ind w:left="4733" w:hanging="360"/>
      </w:pPr>
      <w:rPr>
        <w:rFonts w:ascii="Wingdings" w:hAnsi="Wingdings" w:hint="default"/>
      </w:rPr>
    </w:lvl>
    <w:lvl w:ilvl="6" w:tplc="04260001" w:tentative="1">
      <w:start w:val="1"/>
      <w:numFmt w:val="bullet"/>
      <w:lvlText w:val=""/>
      <w:lvlJc w:val="left"/>
      <w:pPr>
        <w:ind w:left="5453" w:hanging="360"/>
      </w:pPr>
      <w:rPr>
        <w:rFonts w:ascii="Symbol" w:hAnsi="Symbol" w:hint="default"/>
      </w:rPr>
    </w:lvl>
    <w:lvl w:ilvl="7" w:tplc="04260003" w:tentative="1">
      <w:start w:val="1"/>
      <w:numFmt w:val="bullet"/>
      <w:lvlText w:val="o"/>
      <w:lvlJc w:val="left"/>
      <w:pPr>
        <w:ind w:left="6173" w:hanging="360"/>
      </w:pPr>
      <w:rPr>
        <w:rFonts w:ascii="Courier New" w:hAnsi="Courier New" w:cs="Courier New" w:hint="default"/>
      </w:rPr>
    </w:lvl>
    <w:lvl w:ilvl="8" w:tplc="04260005" w:tentative="1">
      <w:start w:val="1"/>
      <w:numFmt w:val="bullet"/>
      <w:lvlText w:val=""/>
      <w:lvlJc w:val="left"/>
      <w:pPr>
        <w:ind w:left="6893" w:hanging="360"/>
      </w:pPr>
      <w:rPr>
        <w:rFonts w:ascii="Wingdings" w:hAnsi="Wingdings" w:hint="default"/>
      </w:rPr>
    </w:lvl>
  </w:abstractNum>
  <w:abstractNum w:abstractNumId="1" w15:restartNumberingAfterBreak="0">
    <w:nsid w:val="30740812"/>
    <w:multiLevelType w:val="hybridMultilevel"/>
    <w:tmpl w:val="9C70DF06"/>
    <w:lvl w:ilvl="0" w:tplc="3692EA24">
      <w:start w:val="1"/>
      <w:numFmt w:val="bullet"/>
      <w:lvlText w:val=""/>
      <w:lvlJc w:val="left"/>
      <w:pPr>
        <w:tabs>
          <w:tab w:val="num" w:pos="1080"/>
        </w:tabs>
        <w:ind w:left="1080"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015BE8"/>
    <w:multiLevelType w:val="hybridMultilevel"/>
    <w:tmpl w:val="A9083E06"/>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37A563CC"/>
    <w:multiLevelType w:val="hybridMultilevel"/>
    <w:tmpl w:val="FD38DE38"/>
    <w:lvl w:ilvl="0" w:tplc="0426000D">
      <w:start w:val="1"/>
      <w:numFmt w:val="bullet"/>
      <w:lvlText w:val=""/>
      <w:lvlJc w:val="left"/>
      <w:pPr>
        <w:tabs>
          <w:tab w:val="num" w:pos="720"/>
        </w:tabs>
        <w:ind w:left="720" w:hanging="360"/>
      </w:pPr>
      <w:rPr>
        <w:rFonts w:ascii="Wingdings" w:hAnsi="Wingdings" w:hint="default"/>
      </w:rPr>
    </w:lvl>
    <w:lvl w:ilvl="1" w:tplc="0426000B">
      <w:start w:val="1"/>
      <w:numFmt w:val="bullet"/>
      <w:lvlText w:val=""/>
      <w:lvlJc w:val="left"/>
      <w:pPr>
        <w:tabs>
          <w:tab w:val="num" w:pos="1440"/>
        </w:tabs>
        <w:ind w:left="1440" w:hanging="360"/>
      </w:pPr>
      <w:rPr>
        <w:rFonts w:ascii="Wingdings" w:hAnsi="Wingdings"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A67281"/>
    <w:multiLevelType w:val="hybridMultilevel"/>
    <w:tmpl w:val="D5F469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78D370F"/>
    <w:multiLevelType w:val="hybridMultilevel"/>
    <w:tmpl w:val="E502294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403602963">
    <w:abstractNumId w:val="1"/>
  </w:num>
  <w:num w:numId="2" w16cid:durableId="1828787988">
    <w:abstractNumId w:val="3"/>
  </w:num>
  <w:num w:numId="3" w16cid:durableId="59444489">
    <w:abstractNumId w:val="2"/>
  </w:num>
  <w:num w:numId="4" w16cid:durableId="297153571">
    <w:abstractNumId w:val="4"/>
  </w:num>
  <w:num w:numId="5" w16cid:durableId="1623267723">
    <w:abstractNumId w:val="5"/>
  </w:num>
  <w:num w:numId="6" w16cid:durableId="2045666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7D9"/>
    <w:rsid w:val="00074E77"/>
    <w:rsid w:val="000833B9"/>
    <w:rsid w:val="000E7CAC"/>
    <w:rsid w:val="000F20A9"/>
    <w:rsid w:val="0010249C"/>
    <w:rsid w:val="001061A3"/>
    <w:rsid w:val="00125B30"/>
    <w:rsid w:val="00126926"/>
    <w:rsid w:val="0013450D"/>
    <w:rsid w:val="0014404B"/>
    <w:rsid w:val="00172A15"/>
    <w:rsid w:val="001C02D5"/>
    <w:rsid w:val="001D1921"/>
    <w:rsid w:val="001F17E8"/>
    <w:rsid w:val="00211AD3"/>
    <w:rsid w:val="00235967"/>
    <w:rsid w:val="002411FA"/>
    <w:rsid w:val="00252C29"/>
    <w:rsid w:val="00255679"/>
    <w:rsid w:val="00260BB5"/>
    <w:rsid w:val="00273D58"/>
    <w:rsid w:val="002972AD"/>
    <w:rsid w:val="002A6B1D"/>
    <w:rsid w:val="002B33C8"/>
    <w:rsid w:val="002E1990"/>
    <w:rsid w:val="0032684F"/>
    <w:rsid w:val="0035142C"/>
    <w:rsid w:val="00386F79"/>
    <w:rsid w:val="003A7294"/>
    <w:rsid w:val="003C30DD"/>
    <w:rsid w:val="003E7D90"/>
    <w:rsid w:val="003F72E3"/>
    <w:rsid w:val="00423D76"/>
    <w:rsid w:val="00426B34"/>
    <w:rsid w:val="00430C82"/>
    <w:rsid w:val="00465568"/>
    <w:rsid w:val="004871C7"/>
    <w:rsid w:val="004A09FB"/>
    <w:rsid w:val="004A64BF"/>
    <w:rsid w:val="004C4816"/>
    <w:rsid w:val="004D2CD3"/>
    <w:rsid w:val="004D7065"/>
    <w:rsid w:val="0052734A"/>
    <w:rsid w:val="005401A0"/>
    <w:rsid w:val="00553E5F"/>
    <w:rsid w:val="00557C45"/>
    <w:rsid w:val="00596128"/>
    <w:rsid w:val="005C1FB5"/>
    <w:rsid w:val="00631C66"/>
    <w:rsid w:val="006371F4"/>
    <w:rsid w:val="00651217"/>
    <w:rsid w:val="00654674"/>
    <w:rsid w:val="00667919"/>
    <w:rsid w:val="00683902"/>
    <w:rsid w:val="006D0CF5"/>
    <w:rsid w:val="00725A42"/>
    <w:rsid w:val="007267D9"/>
    <w:rsid w:val="00752A1E"/>
    <w:rsid w:val="00754070"/>
    <w:rsid w:val="00767702"/>
    <w:rsid w:val="00771964"/>
    <w:rsid w:val="007771DC"/>
    <w:rsid w:val="00787B3A"/>
    <w:rsid w:val="007A5BCC"/>
    <w:rsid w:val="007B158B"/>
    <w:rsid w:val="007F3933"/>
    <w:rsid w:val="00826761"/>
    <w:rsid w:val="00831C63"/>
    <w:rsid w:val="00861186"/>
    <w:rsid w:val="00876A90"/>
    <w:rsid w:val="00877C40"/>
    <w:rsid w:val="00887860"/>
    <w:rsid w:val="00893D71"/>
    <w:rsid w:val="008A37B9"/>
    <w:rsid w:val="008B7C66"/>
    <w:rsid w:val="00932BDA"/>
    <w:rsid w:val="009558B2"/>
    <w:rsid w:val="009A05FC"/>
    <w:rsid w:val="009A522A"/>
    <w:rsid w:val="009C3654"/>
    <w:rsid w:val="009D4885"/>
    <w:rsid w:val="009E48B8"/>
    <w:rsid w:val="00A50F66"/>
    <w:rsid w:val="00AC67B2"/>
    <w:rsid w:val="00AD2A4C"/>
    <w:rsid w:val="00B823E7"/>
    <w:rsid w:val="00B85D8C"/>
    <w:rsid w:val="00B97A23"/>
    <w:rsid w:val="00BA1A98"/>
    <w:rsid w:val="00BD03A6"/>
    <w:rsid w:val="00BE0CBF"/>
    <w:rsid w:val="00C02220"/>
    <w:rsid w:val="00C222A2"/>
    <w:rsid w:val="00C3545B"/>
    <w:rsid w:val="00C3616F"/>
    <w:rsid w:val="00C63E2C"/>
    <w:rsid w:val="00C84742"/>
    <w:rsid w:val="00CA0F43"/>
    <w:rsid w:val="00CB3223"/>
    <w:rsid w:val="00CB7BD3"/>
    <w:rsid w:val="00D321BA"/>
    <w:rsid w:val="00D43D54"/>
    <w:rsid w:val="00D459DF"/>
    <w:rsid w:val="00D61A30"/>
    <w:rsid w:val="00DD7690"/>
    <w:rsid w:val="00DE22A3"/>
    <w:rsid w:val="00DE5C91"/>
    <w:rsid w:val="00E37470"/>
    <w:rsid w:val="00E45C45"/>
    <w:rsid w:val="00E52D1E"/>
    <w:rsid w:val="00E55F82"/>
    <w:rsid w:val="00E86EE8"/>
    <w:rsid w:val="00E91E81"/>
    <w:rsid w:val="00E930A2"/>
    <w:rsid w:val="00ED2ED3"/>
    <w:rsid w:val="00EE4553"/>
    <w:rsid w:val="00F23DFF"/>
    <w:rsid w:val="00F26F64"/>
    <w:rsid w:val="00F33826"/>
    <w:rsid w:val="00F45F4C"/>
    <w:rsid w:val="00F56F84"/>
    <w:rsid w:val="00F662D8"/>
    <w:rsid w:val="00F95117"/>
    <w:rsid w:val="00FC030D"/>
    <w:rsid w:val="00FC3448"/>
    <w:rsid w:val="00FF0A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6625"/>
    <o:shapelayout v:ext="edit">
      <o:idmap v:ext="edit" data="1"/>
    </o:shapelayout>
  </w:shapeDefaults>
  <w:decimalSymbol w:val=","/>
  <w:listSeparator w:val=";"/>
  <w14:docId w14:val="7E9D6069"/>
  <w15:docId w15:val="{A2908E64-8914-4CC2-B868-37A9519E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D58"/>
    <w:pPr>
      <w:widowControl w:val="0"/>
      <w:adjustRightInd w:val="0"/>
      <w:spacing w:line="360" w:lineRule="atLeast"/>
      <w:jc w:val="both"/>
      <w:textAlignment w:val="baseline"/>
    </w:pPr>
    <w:rPr>
      <w:sz w:val="24"/>
      <w:szCs w:val="24"/>
    </w:rPr>
  </w:style>
  <w:style w:type="paragraph" w:styleId="Heading1">
    <w:name w:val="heading 1"/>
    <w:basedOn w:val="Normal"/>
    <w:next w:val="Normal"/>
    <w:qFormat/>
    <w:rsid w:val="00273D58"/>
    <w:pPr>
      <w:keepNext/>
      <w:widowControl/>
      <w:tabs>
        <w:tab w:val="left" w:pos="6521"/>
        <w:tab w:val="left" w:pos="7938"/>
      </w:tabs>
      <w:adjustRightInd/>
      <w:spacing w:line="240" w:lineRule="auto"/>
      <w:jc w:val="center"/>
      <w:textAlignment w:val="auto"/>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273D58"/>
    <w:pPr>
      <w:tabs>
        <w:tab w:val="center" w:pos="4153"/>
        <w:tab w:val="right" w:pos="8306"/>
      </w:tabs>
    </w:pPr>
  </w:style>
  <w:style w:type="character" w:customStyle="1" w:styleId="HeaderChar">
    <w:name w:val="Header Char"/>
    <w:link w:val="Header"/>
    <w:semiHidden/>
    <w:rsid w:val="00273D58"/>
    <w:rPr>
      <w:sz w:val="24"/>
      <w:szCs w:val="24"/>
      <w:lang w:val="lv-LV" w:eastAsia="lv-LV" w:bidi="ar-SA"/>
    </w:rPr>
  </w:style>
  <w:style w:type="character" w:styleId="PageNumber">
    <w:name w:val="page number"/>
    <w:basedOn w:val="DefaultParagraphFont"/>
    <w:semiHidden/>
    <w:rsid w:val="00273D58"/>
  </w:style>
  <w:style w:type="paragraph" w:styleId="Footer">
    <w:name w:val="footer"/>
    <w:basedOn w:val="Normal"/>
    <w:link w:val="FooterChar"/>
    <w:semiHidden/>
    <w:rsid w:val="00273D58"/>
    <w:pPr>
      <w:tabs>
        <w:tab w:val="center" w:pos="4153"/>
        <w:tab w:val="right" w:pos="8306"/>
      </w:tabs>
    </w:pPr>
  </w:style>
  <w:style w:type="character" w:customStyle="1" w:styleId="FooterChar">
    <w:name w:val="Footer Char"/>
    <w:link w:val="Footer"/>
    <w:rsid w:val="00273D58"/>
    <w:rPr>
      <w:sz w:val="24"/>
      <w:szCs w:val="24"/>
      <w:lang w:val="lv-LV" w:eastAsia="lv-LV" w:bidi="ar-SA"/>
    </w:rPr>
  </w:style>
  <w:style w:type="paragraph" w:styleId="FootnoteText">
    <w:name w:val="footnote text"/>
    <w:basedOn w:val="Normal"/>
    <w:link w:val="FootnoteTextChar"/>
    <w:semiHidden/>
    <w:rsid w:val="00273D58"/>
    <w:rPr>
      <w:sz w:val="20"/>
      <w:szCs w:val="20"/>
    </w:rPr>
  </w:style>
  <w:style w:type="character" w:customStyle="1" w:styleId="FootnoteTextChar">
    <w:name w:val="Footnote Text Char"/>
    <w:link w:val="FootnoteText"/>
    <w:semiHidden/>
    <w:rsid w:val="00273D58"/>
    <w:rPr>
      <w:lang w:val="lv-LV" w:eastAsia="lv-LV" w:bidi="ar-SA"/>
    </w:rPr>
  </w:style>
  <w:style w:type="character" w:styleId="FootnoteReference">
    <w:name w:val="footnote reference"/>
    <w:semiHidden/>
    <w:rsid w:val="00273D58"/>
    <w:rPr>
      <w:vertAlign w:val="superscript"/>
    </w:rPr>
  </w:style>
  <w:style w:type="paragraph" w:customStyle="1" w:styleId="naislab">
    <w:name w:val="naislab"/>
    <w:basedOn w:val="Normal"/>
    <w:rsid w:val="00273D58"/>
    <w:pPr>
      <w:spacing w:before="100" w:beforeAutospacing="1" w:after="100" w:afterAutospacing="1"/>
    </w:pPr>
  </w:style>
  <w:style w:type="paragraph" w:styleId="BalloonText">
    <w:name w:val="Balloon Text"/>
    <w:basedOn w:val="Normal"/>
    <w:semiHidden/>
    <w:rsid w:val="007F3933"/>
    <w:rPr>
      <w:rFonts w:ascii="Tahoma" w:hAnsi="Tahoma" w:cs="Tahoma"/>
      <w:sz w:val="16"/>
      <w:szCs w:val="16"/>
    </w:rPr>
  </w:style>
  <w:style w:type="paragraph" w:styleId="NormalWeb">
    <w:name w:val="Normal (Web)"/>
    <w:basedOn w:val="Normal"/>
    <w:uiPriority w:val="99"/>
    <w:unhideWhenUsed/>
    <w:rsid w:val="004A64BF"/>
    <w:pPr>
      <w:widowControl/>
      <w:adjustRightInd/>
      <w:spacing w:before="100" w:beforeAutospacing="1" w:after="100" w:afterAutospacing="1" w:line="240" w:lineRule="auto"/>
      <w:jc w:val="left"/>
      <w:textAlignment w:val="auto"/>
    </w:pPr>
  </w:style>
  <w:style w:type="character" w:styleId="Hyperlink">
    <w:name w:val="Hyperlink"/>
    <w:basedOn w:val="DefaultParagraphFont"/>
    <w:unhideWhenUsed/>
    <w:rsid w:val="004A64BF"/>
    <w:rPr>
      <w:color w:val="0000FF" w:themeColor="hyperlink"/>
      <w:u w:val="single"/>
    </w:rPr>
  </w:style>
  <w:style w:type="character" w:styleId="UnresolvedMention">
    <w:name w:val="Unresolved Mention"/>
    <w:basedOn w:val="DefaultParagraphFont"/>
    <w:uiPriority w:val="99"/>
    <w:semiHidden/>
    <w:unhideWhenUsed/>
    <w:rsid w:val="004A64BF"/>
    <w:rPr>
      <w:color w:val="605E5C"/>
      <w:shd w:val="clear" w:color="auto" w:fill="E1DFDD"/>
    </w:rPr>
  </w:style>
  <w:style w:type="paragraph" w:styleId="Revision">
    <w:name w:val="Revision"/>
    <w:hidden/>
    <w:uiPriority w:val="99"/>
    <w:semiHidden/>
    <w:rsid w:val="008611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90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publisko-iepirkumu-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289082-noteikumi-par-iepirkuma-proceduru-un-tas-piemerosanas-kartibu-pasutitaja-finansetiem-projektie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496</Words>
  <Characters>3800</Characters>
  <Application>Microsoft Office Word</Application>
  <DocSecurity>0</DocSecurity>
  <Lines>31</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4</vt:lpstr>
    </vt:vector>
  </TitlesOfParts>
  <Company>Hewlett-Packard Company</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Gints Kārkliņš</dc:creator>
  <cp:lastModifiedBy>Gints Kārkliņš</cp:lastModifiedBy>
  <cp:revision>17</cp:revision>
  <cp:lastPrinted>2014-09-29T08:52:00Z</cp:lastPrinted>
  <dcterms:created xsi:type="dcterms:W3CDTF">2018-12-21T15:29:00Z</dcterms:created>
  <dcterms:modified xsi:type="dcterms:W3CDTF">2025-11-27T15:40:00Z</dcterms:modified>
</cp:coreProperties>
</file>