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A408" w14:textId="77777777" w:rsidR="00A97C3C" w:rsidRPr="008C6A94" w:rsidRDefault="00C47A91" w:rsidP="00C47A91">
      <w:pPr>
        <w:jc w:val="center"/>
        <w:rPr>
          <w:b/>
          <w:bCs/>
        </w:rPr>
      </w:pPr>
      <w:r w:rsidRPr="00C47A91">
        <w:rPr>
          <w:b/>
          <w:bCs/>
        </w:rPr>
        <w:t>Attiecināmās izmaksas attaisnojošie dokumenti</w:t>
      </w:r>
    </w:p>
    <w:p w14:paraId="790A7CB4" w14:textId="77777777" w:rsidR="00A97C3C" w:rsidRDefault="00A97C3C" w:rsidP="00B873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7"/>
        <w:gridCol w:w="6648"/>
        <w:gridCol w:w="7335"/>
      </w:tblGrid>
      <w:tr w:rsidR="00CB0A11" w:rsidRPr="00A54805" w14:paraId="7639A408" w14:textId="77777777" w:rsidTr="00A54805">
        <w:trPr>
          <w:trHeight w:val="113"/>
        </w:trPr>
        <w:tc>
          <w:tcPr>
            <w:tcW w:w="198" w:type="pct"/>
            <w:shd w:val="clear" w:color="auto" w:fill="C2D69B" w:themeFill="accent3" w:themeFillTint="99"/>
            <w:vAlign w:val="center"/>
          </w:tcPr>
          <w:p w14:paraId="225EEF44" w14:textId="77777777" w:rsidR="00A97C3C" w:rsidRPr="00A54805" w:rsidRDefault="00A97C3C" w:rsidP="00E23716">
            <w:pPr>
              <w:jc w:val="center"/>
              <w:rPr>
                <w:b/>
              </w:rPr>
            </w:pPr>
            <w:r w:rsidRPr="00A54805">
              <w:rPr>
                <w:b/>
              </w:rPr>
              <w:t>Nr.</w:t>
            </w:r>
          </w:p>
          <w:p w14:paraId="2F0DD082" w14:textId="77777777" w:rsidR="00A97C3C" w:rsidRPr="00A54805" w:rsidRDefault="00A97C3C" w:rsidP="00E23716">
            <w:pPr>
              <w:jc w:val="center"/>
              <w:rPr>
                <w:b/>
              </w:rPr>
            </w:pPr>
            <w:r w:rsidRPr="00A54805">
              <w:rPr>
                <w:b/>
              </w:rPr>
              <w:t>p.k.</w:t>
            </w:r>
          </w:p>
        </w:tc>
        <w:tc>
          <w:tcPr>
            <w:tcW w:w="2283" w:type="pct"/>
            <w:shd w:val="clear" w:color="auto" w:fill="C2D69B" w:themeFill="accent3" w:themeFillTint="99"/>
            <w:vAlign w:val="center"/>
          </w:tcPr>
          <w:p w14:paraId="4004C5AC" w14:textId="77777777" w:rsidR="00A97C3C" w:rsidRPr="00A54805" w:rsidRDefault="00A97C3C" w:rsidP="00E23716">
            <w:pPr>
              <w:jc w:val="center"/>
              <w:rPr>
                <w:b/>
              </w:rPr>
            </w:pPr>
            <w:r w:rsidRPr="00A54805">
              <w:rPr>
                <w:b/>
              </w:rPr>
              <w:t>Attiecināmās izmaksas (izmaksu pozīcijas)</w:t>
            </w:r>
          </w:p>
        </w:tc>
        <w:tc>
          <w:tcPr>
            <w:tcW w:w="2519" w:type="pct"/>
            <w:shd w:val="clear" w:color="auto" w:fill="C2D69B" w:themeFill="accent3" w:themeFillTint="99"/>
            <w:vAlign w:val="center"/>
          </w:tcPr>
          <w:p w14:paraId="1220250A" w14:textId="58680FC9" w:rsidR="00A97C3C" w:rsidRPr="00A54805" w:rsidRDefault="00AA6E6F" w:rsidP="00E23716">
            <w:pPr>
              <w:jc w:val="center"/>
              <w:rPr>
                <w:b/>
              </w:rPr>
            </w:pPr>
            <w:r w:rsidRPr="00A54805">
              <w:rPr>
                <w:b/>
              </w:rPr>
              <w:t>Vides investīciju fondā</w:t>
            </w:r>
            <w:r w:rsidR="00A97C3C" w:rsidRPr="00A54805">
              <w:rPr>
                <w:b/>
              </w:rPr>
              <w:t xml:space="preserve"> iesniedzam</w:t>
            </w:r>
            <w:r w:rsidR="00A405D9">
              <w:rPr>
                <w:b/>
              </w:rPr>
              <w:t>ie</w:t>
            </w:r>
            <w:r w:rsidR="00A97C3C" w:rsidRPr="00A54805">
              <w:rPr>
                <w:b/>
              </w:rPr>
              <w:t xml:space="preserve"> dokument</w:t>
            </w:r>
            <w:r w:rsidR="004764AB">
              <w:rPr>
                <w:b/>
              </w:rPr>
              <w:t>i</w:t>
            </w:r>
            <w:r w:rsidR="00A97C3C" w:rsidRPr="00A54805">
              <w:rPr>
                <w:b/>
                <w:vertAlign w:val="superscript"/>
              </w:rPr>
              <w:t>1</w:t>
            </w:r>
          </w:p>
        </w:tc>
      </w:tr>
      <w:tr w:rsidR="00CB0A11" w:rsidRPr="00A54805" w14:paraId="46944468" w14:textId="77777777" w:rsidTr="00A54805">
        <w:trPr>
          <w:trHeight w:val="113"/>
        </w:trPr>
        <w:tc>
          <w:tcPr>
            <w:tcW w:w="198" w:type="pct"/>
            <w:shd w:val="clear" w:color="auto" w:fill="FFFFFF"/>
          </w:tcPr>
          <w:p w14:paraId="3D4DDFD1" w14:textId="12914DBC" w:rsidR="00A97C3C" w:rsidRPr="00A54805" w:rsidRDefault="00A97C3C" w:rsidP="00E23716">
            <w:pPr>
              <w:jc w:val="center"/>
            </w:pPr>
            <w:r w:rsidRPr="00A54805">
              <w:t>1.</w:t>
            </w:r>
          </w:p>
        </w:tc>
        <w:tc>
          <w:tcPr>
            <w:tcW w:w="2283" w:type="pct"/>
          </w:tcPr>
          <w:p w14:paraId="26A9DC54" w14:textId="4685CAF5" w:rsidR="00265F4E" w:rsidRDefault="00265F4E" w:rsidP="00E8248B">
            <w:pPr>
              <w:numPr>
                <w:ilvl w:val="0"/>
                <w:numId w:val="16"/>
              </w:numPr>
              <w:jc w:val="both"/>
            </w:pPr>
            <w:bookmarkStart w:id="0" w:name="_Ref253389137"/>
            <w:r w:rsidRPr="00265F4E">
              <w:t>teritorijas labiekārtošanas un apzaļumošanas izmaksas</w:t>
            </w:r>
            <w:r>
              <w:t>;</w:t>
            </w:r>
          </w:p>
          <w:p w14:paraId="793CF9BF" w14:textId="080AF01A" w:rsidR="00E8248B" w:rsidRPr="00A54805" w:rsidRDefault="00265F4E" w:rsidP="00E8248B">
            <w:pPr>
              <w:numPr>
                <w:ilvl w:val="0"/>
                <w:numId w:val="16"/>
              </w:numPr>
              <w:jc w:val="both"/>
            </w:pPr>
            <w:r w:rsidRPr="00265F4E">
              <w:t>ēkas energosertifikāta un pārskata par ēkas energosertifikāta aprēķinos izmantotajām ievaddatu vērtībām sagatavošanas izmaksas</w:t>
            </w:r>
            <w:r w:rsidR="00E8248B" w:rsidRPr="00A54805">
              <w:t>;</w:t>
            </w:r>
          </w:p>
          <w:p w14:paraId="7F9858D0" w14:textId="7D885E40" w:rsidR="00E8248B" w:rsidRPr="00A54805" w:rsidRDefault="00265F4E" w:rsidP="00E8248B">
            <w:pPr>
              <w:numPr>
                <w:ilvl w:val="0"/>
                <w:numId w:val="16"/>
              </w:numPr>
              <w:jc w:val="both"/>
            </w:pPr>
            <w:r w:rsidRPr="00265F4E">
              <w:t>būvprojekta ekspertīzes, būvprojektēšanas, būvuzraudzības un autoruzraudzības izmaksas</w:t>
            </w:r>
            <w:r w:rsidR="00E8248B" w:rsidRPr="00A54805">
              <w:t>;</w:t>
            </w:r>
          </w:p>
          <w:p w14:paraId="3745978D" w14:textId="684062CF" w:rsidR="00E8248B" w:rsidRPr="00A54805" w:rsidRDefault="00265F4E" w:rsidP="00E8248B">
            <w:pPr>
              <w:numPr>
                <w:ilvl w:val="0"/>
                <w:numId w:val="16"/>
              </w:numPr>
              <w:jc w:val="both"/>
            </w:pPr>
            <w:r w:rsidRPr="00265F4E">
              <w:t>inženierkonsultantu pakalpojumu izmaksas</w:t>
            </w:r>
            <w:r w:rsidR="00E8248B" w:rsidRPr="00A54805">
              <w:t>;</w:t>
            </w:r>
          </w:p>
          <w:p w14:paraId="52A9664B" w14:textId="00D5C0A7" w:rsidR="00A97C3C" w:rsidRPr="00A54805" w:rsidRDefault="00265F4E" w:rsidP="00E8248B">
            <w:pPr>
              <w:numPr>
                <w:ilvl w:val="0"/>
                <w:numId w:val="16"/>
              </w:numPr>
              <w:jc w:val="both"/>
            </w:pPr>
            <w:r w:rsidRPr="00265F4E">
              <w:t>izmaksas, kas saistītas ar būvniecības tehniskās dokumentācijas sagatavošanu, tostarp būvprojekta tehniskās apsekošanas atzinuma sagatavošanu</w:t>
            </w:r>
            <w:r w:rsidR="00E8248B" w:rsidRPr="00A54805">
              <w:t>;</w:t>
            </w:r>
            <w:bookmarkEnd w:id="0"/>
          </w:p>
          <w:p w14:paraId="10C2D17F" w14:textId="24DED2F8" w:rsidR="00CB79F7" w:rsidRPr="00A54805" w:rsidRDefault="00CB79F7" w:rsidP="00CB79F7">
            <w:pPr>
              <w:numPr>
                <w:ilvl w:val="0"/>
                <w:numId w:val="16"/>
              </w:numPr>
              <w:jc w:val="both"/>
            </w:pPr>
            <w:r w:rsidRPr="00A54805">
              <w:t>projektēšanas, būvuzraudzības un autoruzraudzības izmaksas;</w:t>
            </w:r>
          </w:p>
          <w:p w14:paraId="11CDD101" w14:textId="05303C09" w:rsidR="00CB79F7" w:rsidRPr="00A54805" w:rsidRDefault="00265F4E" w:rsidP="00CB79F7">
            <w:pPr>
              <w:numPr>
                <w:ilvl w:val="0"/>
                <w:numId w:val="16"/>
              </w:numPr>
              <w:jc w:val="both"/>
            </w:pPr>
            <w:r w:rsidRPr="00265F4E">
              <w:t xml:space="preserve">projekta publicitātes pasākumu īstenošanas izmaksas, ja tās atbilst </w:t>
            </w:r>
            <w:r>
              <w:t>MK noteikumu Nr. 807</w:t>
            </w:r>
            <w:r w:rsidRPr="00265F4E">
              <w:t xml:space="preserve"> 55. punktam</w:t>
            </w:r>
            <w:r w:rsidR="00CB79F7" w:rsidRPr="00A54805">
              <w:t>.</w:t>
            </w:r>
          </w:p>
          <w:p w14:paraId="041969DB" w14:textId="1D4E9210" w:rsidR="00CB79F7" w:rsidRPr="00A54805" w:rsidRDefault="00CB79F7" w:rsidP="00CB79F7">
            <w:pPr>
              <w:jc w:val="both"/>
            </w:pPr>
            <w:r w:rsidRPr="00A54805">
              <w:t>(</w:t>
            </w:r>
            <w:r w:rsidR="00265F4E" w:rsidRPr="00A54805">
              <w:t>i</w:t>
            </w:r>
            <w:r w:rsidR="00265F4E" w:rsidRPr="00A54805">
              <w:rPr>
                <w:i/>
                <w:iCs/>
              </w:rPr>
              <w:t>zmaksas ir attiecināmas, ja tās tiek uzskaitītas par ieguldījumu izmaksām</w:t>
            </w:r>
            <w:r w:rsidR="00265F4E">
              <w:rPr>
                <w:i/>
                <w:iCs/>
              </w:rPr>
              <w:t xml:space="preserve">. </w:t>
            </w:r>
            <w:r w:rsidRPr="00A54805">
              <w:rPr>
                <w:i/>
                <w:iCs/>
              </w:rPr>
              <w:t xml:space="preserve">izmaksu kopējā summa nepārsniedz </w:t>
            </w:r>
            <w:r w:rsidR="00265F4E">
              <w:rPr>
                <w:i/>
                <w:iCs/>
              </w:rPr>
              <w:t>3</w:t>
            </w:r>
            <w:r w:rsidR="0062698A">
              <w:rPr>
                <w:i/>
                <w:iCs/>
              </w:rPr>
              <w:t> </w:t>
            </w:r>
            <w:r w:rsidRPr="00A54805">
              <w:rPr>
                <w:i/>
                <w:iCs/>
              </w:rPr>
              <w:t>% no projekta kopējām attiecināmajām izmaksām</w:t>
            </w:r>
            <w:r w:rsidR="00265F4E">
              <w:rPr>
                <w:i/>
                <w:iCs/>
              </w:rPr>
              <w:t xml:space="preserve">, </w:t>
            </w:r>
            <w:r w:rsidR="00265F4E" w:rsidRPr="00265F4E">
              <w:rPr>
                <w:i/>
                <w:iCs/>
              </w:rPr>
              <w:t>neieskaitot finanšu rezervi</w:t>
            </w:r>
            <w:r w:rsidRPr="00A54805">
              <w:t>)</w:t>
            </w:r>
          </w:p>
        </w:tc>
        <w:tc>
          <w:tcPr>
            <w:tcW w:w="2519" w:type="pct"/>
          </w:tcPr>
          <w:p w14:paraId="3D42DCD7" w14:textId="289D8848" w:rsidR="00CB79F7" w:rsidRPr="00A54805" w:rsidRDefault="00B04AC6" w:rsidP="00B04AC6">
            <w:pPr>
              <w:jc w:val="both"/>
            </w:pPr>
            <w:r>
              <w:t>1. I</w:t>
            </w:r>
            <w:r w:rsidR="00CB79F7" w:rsidRPr="00A54805">
              <w:t>epirkuma nolikums, uzaicinājumi un tehniskās specifikācija</w:t>
            </w:r>
            <w:r w:rsidR="00A54805" w:rsidRPr="00A54805">
              <w:t>s;</w:t>
            </w:r>
          </w:p>
          <w:p w14:paraId="491F0104" w14:textId="1FC410D1" w:rsidR="00CB79F7" w:rsidRPr="00A54805" w:rsidRDefault="00B04AC6" w:rsidP="00B04AC6">
            <w:pPr>
              <w:jc w:val="both"/>
            </w:pPr>
            <w:r>
              <w:t>2. I</w:t>
            </w:r>
            <w:r w:rsidR="00CB79F7" w:rsidRPr="00A54805">
              <w:t>zvēlētā pretendenta iesniegtais piedāvājums</w:t>
            </w:r>
            <w:r w:rsidR="00A54805" w:rsidRPr="00A54805">
              <w:t>;</w:t>
            </w:r>
          </w:p>
          <w:p w14:paraId="1BDB0B07" w14:textId="6D27538A" w:rsidR="00CB79F7" w:rsidRPr="00A54805" w:rsidRDefault="00B04AC6" w:rsidP="00B04AC6">
            <w:pPr>
              <w:jc w:val="both"/>
            </w:pPr>
            <w:r>
              <w:t>3. V</w:t>
            </w:r>
            <w:r w:rsidR="00CB79F7" w:rsidRPr="00A54805">
              <w:t xml:space="preserve">ērtēšanas ziņojums un komisijas sēžu protokoli, </w:t>
            </w:r>
            <w:r w:rsidR="00A54805" w:rsidRPr="00A54805">
              <w:t>l</w:t>
            </w:r>
            <w:r w:rsidR="00CB79F7" w:rsidRPr="00A54805">
              <w:t>ēmums par iepirkuma procedūras rezultātiem</w:t>
            </w:r>
            <w:r w:rsidR="00A54805" w:rsidRPr="00A54805">
              <w:t>;</w:t>
            </w:r>
          </w:p>
          <w:p w14:paraId="5DFEA05E" w14:textId="03784BE4" w:rsidR="00E313DB" w:rsidRPr="00A54805" w:rsidRDefault="00B04AC6" w:rsidP="00B04AC6">
            <w:pPr>
              <w:jc w:val="both"/>
            </w:pPr>
            <w:r>
              <w:t>4. A</w:t>
            </w:r>
            <w:r w:rsidR="003B4245" w:rsidRPr="00A54805">
              <w:t xml:space="preserve">r </w:t>
            </w:r>
            <w:r w:rsidR="00A54805" w:rsidRPr="00A54805">
              <w:t>izpildītāju</w:t>
            </w:r>
            <w:r w:rsidR="003B4245" w:rsidRPr="00A54805">
              <w:t xml:space="preserve"> noslēgtais līgums</w:t>
            </w:r>
            <w:r w:rsidR="00A54805" w:rsidRPr="00A54805">
              <w:t xml:space="preserve"> un tā pielikumi</w:t>
            </w:r>
            <w:r w:rsidR="003B4245" w:rsidRPr="00A54805">
              <w:t>, kuram kā neatdalāma sastāvdaļa pievienota detalizēta tāme</w:t>
            </w:r>
            <w:r w:rsidR="0004220D" w:rsidRPr="00A54805">
              <w:t xml:space="preserve"> (ja attiecināms)</w:t>
            </w:r>
            <w:r w:rsidR="00A54805" w:rsidRPr="00A54805">
              <w:t>;</w:t>
            </w:r>
          </w:p>
          <w:p w14:paraId="0C5B1DA1" w14:textId="3C663A86" w:rsidR="003B4245" w:rsidRPr="00A54805" w:rsidRDefault="00B04AC6" w:rsidP="00B04AC6">
            <w:pPr>
              <w:jc w:val="both"/>
            </w:pPr>
            <w:r>
              <w:t>5. D</w:t>
            </w:r>
            <w:r w:rsidR="003B4245" w:rsidRPr="00A54805">
              <w:t>arījumu apliecinoši dokumenti</w:t>
            </w:r>
            <w:r w:rsidR="003B4245" w:rsidRPr="00B04AC6">
              <w:rPr>
                <w:vertAlign w:val="superscript"/>
              </w:rPr>
              <w:t>2</w:t>
            </w:r>
            <w:r w:rsidR="00A54805" w:rsidRPr="00A54805">
              <w:t>;</w:t>
            </w:r>
          </w:p>
          <w:p w14:paraId="1E8C570C" w14:textId="48FFFCF8" w:rsidR="00915940" w:rsidRPr="00A54805" w:rsidRDefault="00B04AC6" w:rsidP="00B04AC6">
            <w:pPr>
              <w:jc w:val="both"/>
            </w:pPr>
            <w:r>
              <w:t>6. P</w:t>
            </w:r>
            <w:r w:rsidR="00915940" w:rsidRPr="00A54805">
              <w:t>ieņemšanas</w:t>
            </w:r>
            <w:r w:rsidR="00A54805" w:rsidRPr="00A54805">
              <w:t>-nodošanas</w:t>
            </w:r>
            <w:r w:rsidR="00915940" w:rsidRPr="00A54805">
              <w:t xml:space="preserve"> akti</w:t>
            </w:r>
            <w:r w:rsidR="00A54805" w:rsidRPr="00A54805">
              <w:t>;</w:t>
            </w:r>
          </w:p>
          <w:p w14:paraId="1A3A3873" w14:textId="07A29122" w:rsidR="002A176B" w:rsidRPr="00A54805" w:rsidRDefault="00B04AC6" w:rsidP="00B04AC6">
            <w:pPr>
              <w:jc w:val="both"/>
            </w:pPr>
            <w:r>
              <w:t xml:space="preserve">7. </w:t>
            </w:r>
            <w:r w:rsidR="004764AB">
              <w:t>P</w:t>
            </w:r>
            <w:r w:rsidR="004764AB" w:rsidRPr="00A54805">
              <w:t xml:space="preserve">rojekta </w:t>
            </w:r>
            <w:r w:rsidR="004764AB">
              <w:t xml:space="preserve">bankas </w:t>
            </w:r>
            <w:r w:rsidR="002A176B" w:rsidRPr="00A54805">
              <w:t>konta apgrozījuma izdruka</w:t>
            </w:r>
            <w:r w:rsidR="004764AB" w:rsidRPr="00B04AC6">
              <w:rPr>
                <w:vertAlign w:val="superscript"/>
              </w:rPr>
              <w:t>3</w:t>
            </w:r>
            <w:r w:rsidR="002A176B" w:rsidRPr="00A54805">
              <w:t xml:space="preserve"> par pārskata periodu</w:t>
            </w:r>
            <w:r w:rsidR="0036535A" w:rsidRPr="00B04AC6">
              <w:rPr>
                <w:vertAlign w:val="superscript"/>
              </w:rPr>
              <w:t>5</w:t>
            </w:r>
            <w:r w:rsidR="002A176B" w:rsidRPr="00A54805">
              <w:t>.</w:t>
            </w:r>
          </w:p>
        </w:tc>
      </w:tr>
      <w:tr w:rsidR="003B4245" w:rsidRPr="00A54805" w14:paraId="386CC3C5" w14:textId="77777777" w:rsidTr="00A54805">
        <w:trPr>
          <w:trHeight w:val="113"/>
        </w:trPr>
        <w:tc>
          <w:tcPr>
            <w:tcW w:w="198" w:type="pct"/>
            <w:shd w:val="clear" w:color="auto" w:fill="FFFFFF"/>
          </w:tcPr>
          <w:p w14:paraId="41111F33" w14:textId="1DE7E940" w:rsidR="003B4245" w:rsidRPr="00A54805" w:rsidRDefault="003B4245" w:rsidP="00E23716">
            <w:pPr>
              <w:jc w:val="center"/>
            </w:pPr>
            <w:r w:rsidRPr="00A54805">
              <w:t>2.</w:t>
            </w:r>
          </w:p>
        </w:tc>
        <w:tc>
          <w:tcPr>
            <w:tcW w:w="2283" w:type="pct"/>
          </w:tcPr>
          <w:p w14:paraId="48E6C410" w14:textId="196AEC1E" w:rsidR="0004220D" w:rsidRPr="00A54805" w:rsidRDefault="00265F4E" w:rsidP="00F225B5">
            <w:pPr>
              <w:numPr>
                <w:ilvl w:val="0"/>
                <w:numId w:val="16"/>
              </w:numPr>
              <w:jc w:val="both"/>
            </w:pPr>
            <w:r w:rsidRPr="00265F4E">
              <w:t>esošas ēkas pārbūves vai atjaunošanas būvdarbu izmaksas ēkas ārējās norobežojošajās konstrukcijās</w:t>
            </w:r>
            <w:r w:rsidR="0004220D" w:rsidRPr="00A54805">
              <w:t xml:space="preserve">; </w:t>
            </w:r>
          </w:p>
          <w:p w14:paraId="7A91B2FA" w14:textId="7FE5A95E" w:rsidR="00F225B5" w:rsidRPr="00A54805" w:rsidRDefault="00265F4E" w:rsidP="00F225B5">
            <w:pPr>
              <w:numPr>
                <w:ilvl w:val="0"/>
                <w:numId w:val="16"/>
              </w:numPr>
              <w:jc w:val="both"/>
            </w:pPr>
            <w:r w:rsidRPr="00265F4E">
              <w:t>ēkas siltumapgādes vai aukstumapgādes sistēmas pārbūves, atjaunošanas, iegādes, piegādes, uzstādīšanas un ieregulēšanas izmaksas</w:t>
            </w:r>
            <w:r w:rsidR="00F225B5" w:rsidRPr="00A54805">
              <w:t>;</w:t>
            </w:r>
          </w:p>
          <w:p w14:paraId="6F4CE3B0" w14:textId="77777777" w:rsidR="00265F4E" w:rsidRDefault="00265F4E" w:rsidP="00F564C7">
            <w:pPr>
              <w:numPr>
                <w:ilvl w:val="0"/>
                <w:numId w:val="16"/>
              </w:numPr>
              <w:jc w:val="both"/>
            </w:pPr>
            <w:r w:rsidRPr="00265F4E">
              <w:t>ēkas ventilācijas un gaisa kondicionēšanas sistēmas pārbūves, atjaunošanas, iegādes, piegādes, būvniecības, uzstādīšanas un ieregulēšanas izmaksas, lai nodrošinātu būvniecības nozari regulējošajiem normatīvajiem aktiem atbilstošu iekštelpu mikroklimatu</w:t>
            </w:r>
            <w:r w:rsidR="00F225B5" w:rsidRPr="00A54805">
              <w:t>;</w:t>
            </w:r>
          </w:p>
          <w:p w14:paraId="537C7FCE" w14:textId="78CD1934" w:rsidR="00F225B5" w:rsidRPr="00A54805" w:rsidRDefault="00265F4E" w:rsidP="00F564C7">
            <w:pPr>
              <w:numPr>
                <w:ilvl w:val="0"/>
                <w:numId w:val="16"/>
              </w:numPr>
              <w:jc w:val="both"/>
            </w:pPr>
            <w:r w:rsidRPr="00265F4E">
              <w:lastRenderedPageBreak/>
              <w:t>ēkas siltumenerģijas atgūšanai un izmantošanai paredzēto inženiertehnisko sistēmu iekārtu iegādes, piegādes, būvniecības, uzstādīšanas un ieregulēšanas izmaksas</w:t>
            </w:r>
            <w:r w:rsidR="00F225B5" w:rsidRPr="00A54805">
              <w:t xml:space="preserve">; </w:t>
            </w:r>
          </w:p>
          <w:p w14:paraId="57FC802A" w14:textId="7A4D5456" w:rsidR="0004220D" w:rsidRPr="00A54805" w:rsidRDefault="00265F4E" w:rsidP="00F225B5">
            <w:pPr>
              <w:numPr>
                <w:ilvl w:val="0"/>
                <w:numId w:val="16"/>
              </w:numPr>
              <w:jc w:val="both"/>
            </w:pPr>
            <w:r w:rsidRPr="00265F4E">
              <w:t>ēkas apgaismojuma un līdzstrāvas un maiņstrāvas elektroapgādes sistēmas pārbūves, atjaunošanas, iegādes, piegādes, uzstādīšanas un ieregulēšanas izmaksas</w:t>
            </w:r>
            <w:r w:rsidR="0004220D" w:rsidRPr="00A54805">
              <w:t xml:space="preserve">; </w:t>
            </w:r>
          </w:p>
          <w:p w14:paraId="59797CE9" w14:textId="4E305AED" w:rsidR="00F225B5" w:rsidRPr="00A54805" w:rsidRDefault="00265F4E" w:rsidP="00F225B5">
            <w:pPr>
              <w:numPr>
                <w:ilvl w:val="0"/>
                <w:numId w:val="16"/>
              </w:numPr>
              <w:jc w:val="both"/>
            </w:pPr>
            <w:r w:rsidRPr="00265F4E">
              <w:t>ēku automatizētās vadības, enerģijas patēriņa samazinājuma un kontroles sistēmu iegādes, piegādes, uzstādīšanas un ieregulēšanas izmaksas</w:t>
            </w:r>
            <w:r w:rsidR="00E8248B" w:rsidRPr="00A54805">
              <w:t>;</w:t>
            </w:r>
          </w:p>
          <w:p w14:paraId="15E347BA" w14:textId="2CC2BD7F" w:rsidR="003B4245" w:rsidRPr="00A54805" w:rsidRDefault="00265F4E" w:rsidP="00F225B5">
            <w:pPr>
              <w:numPr>
                <w:ilvl w:val="0"/>
                <w:numId w:val="16"/>
              </w:numPr>
              <w:jc w:val="both"/>
            </w:pPr>
            <w:r w:rsidRPr="00265F4E">
              <w:t>citu iekšējo inženiersistēmu pārbūves, atjaunošanas, iegādes, piegādes, būvniecības, uzstādīšanas un ieregulēšanas izmaksas</w:t>
            </w:r>
            <w:r w:rsidR="003A7C70" w:rsidRPr="00A54805">
              <w:t>.</w:t>
            </w:r>
          </w:p>
        </w:tc>
        <w:tc>
          <w:tcPr>
            <w:tcW w:w="2519" w:type="pct"/>
          </w:tcPr>
          <w:p w14:paraId="1CB9E509" w14:textId="7DC17935" w:rsidR="00A54805" w:rsidRPr="00A54805" w:rsidRDefault="00B04AC6" w:rsidP="00B04AC6">
            <w:pPr>
              <w:jc w:val="both"/>
            </w:pPr>
            <w:r>
              <w:lastRenderedPageBreak/>
              <w:t>1. I</w:t>
            </w:r>
            <w:r w:rsidR="00A54805" w:rsidRPr="00A54805">
              <w:t>epirkuma nolikums, uzaicinājumi un tehniskās specifikācijas;</w:t>
            </w:r>
          </w:p>
          <w:p w14:paraId="22944AC9" w14:textId="73FB5CEF" w:rsidR="00A54805" w:rsidRPr="00A54805" w:rsidRDefault="00B04AC6" w:rsidP="00B04AC6">
            <w:pPr>
              <w:jc w:val="both"/>
            </w:pPr>
            <w:r>
              <w:t>2. I</w:t>
            </w:r>
            <w:r w:rsidR="00A54805" w:rsidRPr="00A54805">
              <w:t>zvēlētā pretendenta iesniegtais piedāvājums;</w:t>
            </w:r>
          </w:p>
          <w:p w14:paraId="2E05C38F" w14:textId="17F271E0" w:rsidR="00A54805" w:rsidRPr="00A54805" w:rsidRDefault="00B04AC6" w:rsidP="00B04AC6">
            <w:pPr>
              <w:jc w:val="both"/>
            </w:pPr>
            <w:r>
              <w:t>3. V</w:t>
            </w:r>
            <w:r w:rsidR="00A54805" w:rsidRPr="00A54805">
              <w:t>ērtēšanas ziņojums un komisijas sēžu protokoli, lēmums par iepirkuma procedūras rezultātiem;</w:t>
            </w:r>
          </w:p>
          <w:p w14:paraId="4B4369A9" w14:textId="154C394E" w:rsidR="00D21351" w:rsidRPr="00A54805" w:rsidRDefault="00B04AC6" w:rsidP="00B04AC6">
            <w:pPr>
              <w:jc w:val="both"/>
            </w:pPr>
            <w:r>
              <w:t>4. A</w:t>
            </w:r>
            <w:r w:rsidR="00A54805" w:rsidRPr="00A54805">
              <w:t xml:space="preserve">r izpildītāju </w:t>
            </w:r>
            <w:r w:rsidR="00D21351" w:rsidRPr="00A54805">
              <w:t xml:space="preserve">noslēgtais </w:t>
            </w:r>
            <w:r w:rsidR="001C37F8">
              <w:t>būvdarbu</w:t>
            </w:r>
            <w:r w:rsidR="001C37F8" w:rsidRPr="0052770F">
              <w:t xml:space="preserve"> līgums</w:t>
            </w:r>
            <w:r w:rsidR="00D21351" w:rsidRPr="00A54805">
              <w:t>, kuram kā neatdalāma sastāvdaļa pievienota detalizēta tāme</w:t>
            </w:r>
            <w:r w:rsidR="00A54805" w:rsidRPr="00A54805">
              <w:t>;</w:t>
            </w:r>
          </w:p>
          <w:p w14:paraId="74394FFC" w14:textId="4EFA001D" w:rsidR="00D21351" w:rsidRPr="00A54805" w:rsidRDefault="00B04AC6" w:rsidP="00B04AC6">
            <w:pPr>
              <w:jc w:val="both"/>
            </w:pPr>
            <w:r>
              <w:t>5. P</w:t>
            </w:r>
            <w:r w:rsidR="00A54805" w:rsidRPr="00A54805">
              <w:t xml:space="preserve">ieņemšanas-nodošanas akti </w:t>
            </w:r>
            <w:r w:rsidR="00D21351" w:rsidRPr="00A54805">
              <w:t>(forma Nr.2, forma Nr.3, ja attiecināms)</w:t>
            </w:r>
            <w:r w:rsidR="00A54805" w:rsidRPr="00A54805">
              <w:t>;</w:t>
            </w:r>
          </w:p>
          <w:p w14:paraId="55BE5D59" w14:textId="1C677F70" w:rsidR="00D21351" w:rsidRPr="00A54805" w:rsidRDefault="00B04AC6" w:rsidP="00B04AC6">
            <w:pPr>
              <w:jc w:val="both"/>
            </w:pPr>
            <w:r>
              <w:t>6. D</w:t>
            </w:r>
            <w:r w:rsidR="00A54805" w:rsidRPr="00A54805">
              <w:t>arījumu apliecinoši dokumenti</w:t>
            </w:r>
            <w:r w:rsidR="00A54805" w:rsidRPr="00B04AC6">
              <w:rPr>
                <w:vertAlign w:val="superscript"/>
              </w:rPr>
              <w:t xml:space="preserve"> </w:t>
            </w:r>
            <w:r w:rsidR="00D21351" w:rsidRPr="00B04AC6">
              <w:rPr>
                <w:vertAlign w:val="superscript"/>
              </w:rPr>
              <w:t>2</w:t>
            </w:r>
            <w:r w:rsidR="00A54805" w:rsidRPr="00A54805">
              <w:t>;</w:t>
            </w:r>
          </w:p>
          <w:p w14:paraId="0F53D16B" w14:textId="52870FCB" w:rsidR="00C33A5E" w:rsidRPr="00A54805" w:rsidRDefault="00B04AC6" w:rsidP="00B04AC6">
            <w:pPr>
              <w:jc w:val="both"/>
            </w:pPr>
            <w:r>
              <w:t>7. B</w:t>
            </w:r>
            <w:r w:rsidR="00A405D9" w:rsidRPr="0052770F">
              <w:t>ūvniecības ieceres dokumenti (paskaidrojuma raksts vai būvprojekts minimālā sastāvā, ēkas tehniskās apsekošanas atzinums, arhitektoniski mākslinieciskā izpēti un atzinums);</w:t>
            </w:r>
          </w:p>
          <w:p w14:paraId="6F092404" w14:textId="6DEEAB80" w:rsidR="001C37F8" w:rsidRDefault="00B04AC6" w:rsidP="00B04AC6">
            <w:pPr>
              <w:jc w:val="both"/>
            </w:pPr>
            <w:r>
              <w:t>8. B</w:t>
            </w:r>
            <w:r w:rsidR="001C37F8">
              <w:t>ūvatļauja (ja attiecināms);</w:t>
            </w:r>
          </w:p>
          <w:p w14:paraId="77365BDE" w14:textId="65285409" w:rsidR="001C37F8" w:rsidRDefault="00B04AC6" w:rsidP="00B04AC6">
            <w:pPr>
              <w:jc w:val="both"/>
            </w:pPr>
            <w:r>
              <w:lastRenderedPageBreak/>
              <w:t>9. A</w:t>
            </w:r>
            <w:r w:rsidR="00D21351" w:rsidRPr="00A54805">
              <w:t>kts par būves pieņemšanu ekspluatācijā</w:t>
            </w:r>
            <w:r w:rsidR="00A54805" w:rsidRPr="00A54805">
              <w:t>;</w:t>
            </w:r>
          </w:p>
          <w:p w14:paraId="55761F26" w14:textId="2A05F554" w:rsidR="001C37F8" w:rsidRDefault="00B04AC6" w:rsidP="00B04AC6">
            <w:pPr>
              <w:jc w:val="both"/>
            </w:pPr>
            <w:r>
              <w:t>10. K</w:t>
            </w:r>
            <w:r w:rsidR="001C37F8" w:rsidRPr="00451D22">
              <w:t xml:space="preserve">redītiestādes vai apdrošināšanas sabiedrības garantiju par </w:t>
            </w:r>
            <w:r w:rsidR="001C37F8">
              <w:t>būvdarbu līguma</w:t>
            </w:r>
            <w:r w:rsidR="001C37F8" w:rsidRPr="00451D22">
              <w:t xml:space="preserve"> līgumsaistību izpildi</w:t>
            </w:r>
            <w:r w:rsidR="001C37F8">
              <w:t xml:space="preserve"> (ja attiecināms);</w:t>
            </w:r>
          </w:p>
          <w:p w14:paraId="339D665D" w14:textId="546E00C0" w:rsidR="002A176B" w:rsidRPr="00A54805" w:rsidRDefault="00B04AC6" w:rsidP="00B04AC6">
            <w:pPr>
              <w:jc w:val="both"/>
            </w:pPr>
            <w:r>
              <w:t xml:space="preserve">11. </w:t>
            </w:r>
            <w:r w:rsidR="004764AB">
              <w:t>P</w:t>
            </w:r>
            <w:r w:rsidR="004764AB" w:rsidRPr="00A54805">
              <w:t xml:space="preserve">rojekta </w:t>
            </w:r>
            <w:r w:rsidR="004764AB">
              <w:t xml:space="preserve">bankas </w:t>
            </w:r>
            <w:r w:rsidR="00A54805" w:rsidRPr="00A54805">
              <w:t>konta apgrozījuma izdruka</w:t>
            </w:r>
            <w:r w:rsidR="00C52356" w:rsidRPr="00B04AC6">
              <w:rPr>
                <w:vertAlign w:val="superscript"/>
              </w:rPr>
              <w:t>3</w:t>
            </w:r>
            <w:r w:rsidR="00A54805" w:rsidRPr="00A54805">
              <w:t xml:space="preserve"> par pārskata periodu</w:t>
            </w:r>
            <w:r w:rsidR="0036535A" w:rsidRPr="00B04AC6">
              <w:rPr>
                <w:vertAlign w:val="superscript"/>
              </w:rPr>
              <w:t>5</w:t>
            </w:r>
            <w:r w:rsidR="00A54805" w:rsidRPr="00A54805">
              <w:t>.</w:t>
            </w:r>
          </w:p>
        </w:tc>
      </w:tr>
      <w:tr w:rsidR="00C52356" w:rsidRPr="00A54805" w14:paraId="546A8D33" w14:textId="77777777" w:rsidTr="00C52356">
        <w:trPr>
          <w:trHeight w:val="718"/>
        </w:trPr>
        <w:tc>
          <w:tcPr>
            <w:tcW w:w="198" w:type="pct"/>
            <w:shd w:val="clear" w:color="auto" w:fill="FFFFFF"/>
          </w:tcPr>
          <w:p w14:paraId="5EE37FA0" w14:textId="65A3605C" w:rsidR="00C52356" w:rsidRPr="00A54805" w:rsidRDefault="00C52356" w:rsidP="00C52356">
            <w:pPr>
              <w:jc w:val="center"/>
            </w:pPr>
            <w:r>
              <w:lastRenderedPageBreak/>
              <w:t>3</w:t>
            </w:r>
            <w:r w:rsidRPr="00A54805">
              <w:t>.</w:t>
            </w:r>
          </w:p>
        </w:tc>
        <w:tc>
          <w:tcPr>
            <w:tcW w:w="2283" w:type="pct"/>
          </w:tcPr>
          <w:p w14:paraId="24A184ED" w14:textId="4FB82D2D" w:rsidR="00C52356" w:rsidRPr="00A54805" w:rsidRDefault="00265F4E" w:rsidP="00C52356">
            <w:pPr>
              <w:numPr>
                <w:ilvl w:val="0"/>
                <w:numId w:val="16"/>
              </w:numPr>
              <w:jc w:val="both"/>
            </w:pPr>
            <w:r w:rsidRPr="00265F4E">
              <w:t>atjaunīgos energoresursus izmantojošu enerģiju ražojošu iekārtu (pamatiekārtu, palīgiekārtu un iekārtu būvniecības un uzstādīšanas materiālu) iegādes, piegādes, uzstādīšanas, pieslēgšanas un ieregulēšanas izmaksas, tostarp, ja attiecināms, izmaksas par izplūdes gāzu attīrīšanas iekārtas iegādi, piegādi, uzstādīšanu, pieslēgšanu un ieregulēšanu, lai nodrošinātu normatīvajos aktos par gaisa piesārņojuma ierobežošanu noteikto emisijas robežvērtību ievērošanu</w:t>
            </w:r>
            <w:r w:rsidR="00C52356" w:rsidRPr="00A54805">
              <w:t>;</w:t>
            </w:r>
          </w:p>
          <w:p w14:paraId="1E931A65" w14:textId="2C3EFC07" w:rsidR="00C52356" w:rsidRPr="00A54805" w:rsidRDefault="00C52356" w:rsidP="00C52356">
            <w:pPr>
              <w:jc w:val="both"/>
            </w:pPr>
            <w:r w:rsidRPr="00A54805">
              <w:t>(</w:t>
            </w:r>
            <w:r w:rsidR="00265F4E" w:rsidRPr="00265F4E">
              <w:rPr>
                <w:i/>
                <w:iCs/>
              </w:rPr>
              <w:t>vismaz 80 % no gadā saražotās elektroenerģijas tiek izmantota pašpatēriņa vajadzībām</w:t>
            </w:r>
            <w:r w:rsidRPr="00A54805">
              <w:t>)</w:t>
            </w:r>
          </w:p>
          <w:p w14:paraId="52D76261" w14:textId="6B5C8C9F" w:rsidR="00C52356" w:rsidRPr="00A54805" w:rsidRDefault="00265F4E" w:rsidP="00C52356">
            <w:pPr>
              <w:numPr>
                <w:ilvl w:val="0"/>
                <w:numId w:val="16"/>
              </w:numPr>
              <w:jc w:val="both"/>
            </w:pPr>
            <w:r w:rsidRPr="00265F4E">
              <w:t>pieslēguma centralizētajai siltumapgādes sistēmai projektēšanas un siltummezgla izveides izmaksas</w:t>
            </w:r>
            <w:r w:rsidR="00C52356" w:rsidRPr="00A54805">
              <w:t>;</w:t>
            </w:r>
          </w:p>
          <w:p w14:paraId="0F266F81" w14:textId="77777777" w:rsidR="00265F4E" w:rsidRDefault="00265F4E" w:rsidP="00C52356">
            <w:pPr>
              <w:numPr>
                <w:ilvl w:val="0"/>
                <w:numId w:val="16"/>
              </w:numPr>
              <w:jc w:val="both"/>
            </w:pPr>
            <w:r w:rsidRPr="00265F4E">
              <w:t>fosilos energoresursus izmantojošu siltumenerģiju ražojošu iekārtu demontāžas izmaksas</w:t>
            </w:r>
            <w:r>
              <w:t>;</w:t>
            </w:r>
          </w:p>
          <w:p w14:paraId="14886D21" w14:textId="77777777" w:rsidR="00265F4E" w:rsidRDefault="00265F4E" w:rsidP="00C52356">
            <w:pPr>
              <w:numPr>
                <w:ilvl w:val="0"/>
                <w:numId w:val="16"/>
              </w:numPr>
              <w:jc w:val="both"/>
            </w:pPr>
            <w:r w:rsidRPr="00265F4E">
              <w:t>enerģijas uzglabāšanas iekārtu iegādes, piegādes, uzstādīšanas un ieregulēšanas izmaksas</w:t>
            </w:r>
            <w:r>
              <w:t>;</w:t>
            </w:r>
          </w:p>
          <w:p w14:paraId="69A2AF83" w14:textId="77777777" w:rsidR="00C52356" w:rsidRDefault="00265F4E" w:rsidP="00C52356">
            <w:pPr>
              <w:numPr>
                <w:ilvl w:val="0"/>
                <w:numId w:val="16"/>
              </w:numPr>
              <w:jc w:val="both"/>
            </w:pPr>
            <w:r w:rsidRPr="00265F4E">
              <w:t>elektromobiļu uzlādes infrastruktūras iegādes, piegādes, uzstādīšanas un pieslēgšanas elektrotīklam izmaksas</w:t>
            </w:r>
            <w:r w:rsidR="00C52356" w:rsidRPr="00A54805">
              <w:t>.</w:t>
            </w:r>
          </w:p>
          <w:p w14:paraId="24CD78D6" w14:textId="3412A930" w:rsidR="00265F4E" w:rsidRPr="00A54805" w:rsidRDefault="00265F4E" w:rsidP="00265F4E">
            <w:pPr>
              <w:jc w:val="both"/>
            </w:pPr>
            <w:r w:rsidRPr="00A54805">
              <w:t>(</w:t>
            </w:r>
            <w:r w:rsidRPr="00265F4E">
              <w:rPr>
                <w:i/>
                <w:iCs/>
              </w:rPr>
              <w:t>100 % apmērā uzstādītā elektromobiļu uzlādes infrastruktūra, tiek izmantota pašpatēriņa vajadzībām</w:t>
            </w:r>
            <w:r w:rsidRPr="00A54805">
              <w:t>)</w:t>
            </w:r>
          </w:p>
        </w:tc>
        <w:tc>
          <w:tcPr>
            <w:tcW w:w="2519" w:type="pct"/>
          </w:tcPr>
          <w:p w14:paraId="16638FF7" w14:textId="2C8EB495" w:rsidR="00C52356" w:rsidRPr="00A54805" w:rsidRDefault="00B04AC6" w:rsidP="00B04AC6">
            <w:pPr>
              <w:jc w:val="both"/>
            </w:pPr>
            <w:r>
              <w:t>1. I</w:t>
            </w:r>
            <w:r w:rsidR="00C52356" w:rsidRPr="00A54805">
              <w:t>epirkuma nolikums, uzaicinājumi un tehniskās specifikācijas;</w:t>
            </w:r>
          </w:p>
          <w:p w14:paraId="0496C017" w14:textId="0795C0F9" w:rsidR="00C52356" w:rsidRPr="00A54805" w:rsidRDefault="00B04AC6" w:rsidP="00B04AC6">
            <w:pPr>
              <w:jc w:val="both"/>
            </w:pPr>
            <w:r>
              <w:t>2. I</w:t>
            </w:r>
            <w:r w:rsidR="00C52356" w:rsidRPr="00A54805">
              <w:t>zvēlētā pretendenta iesniegtais piedāvājums;</w:t>
            </w:r>
          </w:p>
          <w:p w14:paraId="2653DF2A" w14:textId="3AB3B9F5" w:rsidR="00C52356" w:rsidRPr="00A54805" w:rsidRDefault="00B04AC6" w:rsidP="00B04AC6">
            <w:pPr>
              <w:jc w:val="both"/>
            </w:pPr>
            <w:r>
              <w:t>3. V</w:t>
            </w:r>
            <w:r w:rsidR="00C52356" w:rsidRPr="00A54805">
              <w:t>ērtēšanas ziņojums un komisijas sēžu protokoli, lēmums par iepirkuma procedūras rezultātiem;</w:t>
            </w:r>
          </w:p>
          <w:p w14:paraId="7AA5198F" w14:textId="197AEBA4" w:rsidR="00C52356" w:rsidRPr="00A54805" w:rsidRDefault="00B04AC6" w:rsidP="00B04AC6">
            <w:pPr>
              <w:jc w:val="both"/>
            </w:pPr>
            <w:r>
              <w:t>4. A</w:t>
            </w:r>
            <w:r w:rsidR="00C52356" w:rsidRPr="00A54805">
              <w:t>r izpildītāju noslēgtais līgums, kuram kā neatdalāma sastāvdaļa pievienota detalizēta tāme;</w:t>
            </w:r>
          </w:p>
          <w:p w14:paraId="2AD271D8" w14:textId="1FDD871B" w:rsidR="00C52356" w:rsidRPr="00A54805" w:rsidRDefault="00B04AC6" w:rsidP="00B04AC6">
            <w:pPr>
              <w:jc w:val="both"/>
            </w:pPr>
            <w:r>
              <w:t>5. P</w:t>
            </w:r>
            <w:r w:rsidR="00C52356" w:rsidRPr="00A54805">
              <w:t>ieņemšanas-nodošanas akti (forma Nr.2, forma Nr.3, ja attiecināms);</w:t>
            </w:r>
          </w:p>
          <w:p w14:paraId="66663EB6" w14:textId="5324D448" w:rsidR="00C52356" w:rsidRPr="00A54805" w:rsidRDefault="00B04AC6" w:rsidP="00B04AC6">
            <w:pPr>
              <w:jc w:val="both"/>
            </w:pPr>
            <w:r>
              <w:t>6. D</w:t>
            </w:r>
            <w:r w:rsidR="00C52356" w:rsidRPr="00A54805">
              <w:t>arījumu apliecinoši dokumenti</w:t>
            </w:r>
            <w:r w:rsidR="00C52356" w:rsidRPr="00B04AC6">
              <w:rPr>
                <w:vertAlign w:val="superscript"/>
              </w:rPr>
              <w:t xml:space="preserve"> 2</w:t>
            </w:r>
            <w:r w:rsidR="00C52356" w:rsidRPr="00A54805">
              <w:t>;</w:t>
            </w:r>
          </w:p>
          <w:p w14:paraId="7B80C4C0" w14:textId="1420BA20" w:rsidR="00C52356" w:rsidRDefault="00B04AC6" w:rsidP="00B04AC6">
            <w:pPr>
              <w:jc w:val="both"/>
            </w:pPr>
            <w:r>
              <w:t>7. B</w:t>
            </w:r>
            <w:r w:rsidR="00A405D9" w:rsidRPr="0052770F">
              <w:t>ūvniecības ieceres dokumenti (paskaidrojuma raksts vai būvprojekts minimālā sastāvā, ēkas tehniskās apsekošanas atzinums, arhitektoniski mākslinieciskā izpēti un atzinums);</w:t>
            </w:r>
          </w:p>
          <w:p w14:paraId="1D2B57DF" w14:textId="4ACB2E13" w:rsidR="001C37F8" w:rsidRDefault="00B04AC6" w:rsidP="00B04AC6">
            <w:pPr>
              <w:jc w:val="both"/>
            </w:pPr>
            <w:r>
              <w:t>8. B</w:t>
            </w:r>
            <w:r w:rsidR="001C37F8">
              <w:t>ūvatļauja (ja attiecināms);</w:t>
            </w:r>
          </w:p>
          <w:p w14:paraId="7A8223AF" w14:textId="138116A9" w:rsidR="00C52356" w:rsidRDefault="00B04AC6" w:rsidP="00B04AC6">
            <w:pPr>
              <w:jc w:val="both"/>
            </w:pPr>
            <w:r>
              <w:t>9. A</w:t>
            </w:r>
            <w:r w:rsidR="00C52356" w:rsidRPr="00A54805">
              <w:t>kts par būves pieņemšanu ekspluatācijā;</w:t>
            </w:r>
          </w:p>
          <w:p w14:paraId="586C78FE" w14:textId="5D71D805" w:rsidR="00C52356" w:rsidRPr="00A54805" w:rsidDel="0004220D" w:rsidRDefault="00B04AC6" w:rsidP="00B04AC6">
            <w:pPr>
              <w:jc w:val="both"/>
            </w:pPr>
            <w:r>
              <w:t xml:space="preserve">10. </w:t>
            </w:r>
            <w:r w:rsidR="004764AB">
              <w:t>P</w:t>
            </w:r>
            <w:r w:rsidR="004764AB" w:rsidRPr="00A54805">
              <w:t xml:space="preserve">rojekta </w:t>
            </w:r>
            <w:r w:rsidR="004764AB">
              <w:t xml:space="preserve">bankas </w:t>
            </w:r>
            <w:r w:rsidR="00C52356" w:rsidRPr="00A54805">
              <w:t>konta apgrozījuma izdruka</w:t>
            </w:r>
            <w:r w:rsidR="00C52356" w:rsidRPr="00B04AC6">
              <w:rPr>
                <w:vertAlign w:val="superscript"/>
              </w:rPr>
              <w:t>3</w:t>
            </w:r>
            <w:r w:rsidR="00C52356" w:rsidRPr="00A54805">
              <w:t xml:space="preserve"> par pārskata periodu</w:t>
            </w:r>
            <w:r w:rsidR="0036535A" w:rsidRPr="00B04AC6">
              <w:rPr>
                <w:vertAlign w:val="superscript"/>
              </w:rPr>
              <w:t>5</w:t>
            </w:r>
            <w:r w:rsidR="00C52356" w:rsidRPr="00A54805">
              <w:t>.</w:t>
            </w:r>
          </w:p>
        </w:tc>
      </w:tr>
      <w:tr w:rsidR="00C52356" w:rsidRPr="00A54805" w14:paraId="12D70B31" w14:textId="77777777" w:rsidTr="00A54805">
        <w:trPr>
          <w:trHeight w:val="113"/>
        </w:trPr>
        <w:tc>
          <w:tcPr>
            <w:tcW w:w="198" w:type="pct"/>
            <w:shd w:val="clear" w:color="auto" w:fill="FFFFFF"/>
          </w:tcPr>
          <w:p w14:paraId="70C813E8" w14:textId="520CAEF9" w:rsidR="00C52356" w:rsidRPr="00A54805" w:rsidRDefault="00C52356" w:rsidP="00C52356">
            <w:pPr>
              <w:jc w:val="center"/>
            </w:pPr>
            <w:r>
              <w:lastRenderedPageBreak/>
              <w:t>4</w:t>
            </w:r>
            <w:r w:rsidRPr="00A54805">
              <w:t>.</w:t>
            </w:r>
          </w:p>
        </w:tc>
        <w:tc>
          <w:tcPr>
            <w:tcW w:w="2283" w:type="pct"/>
          </w:tcPr>
          <w:p w14:paraId="46B0AE41" w14:textId="6086968C" w:rsidR="00C52356" w:rsidRPr="00A54805" w:rsidRDefault="00C52356" w:rsidP="00C52356">
            <w:pPr>
              <w:numPr>
                <w:ilvl w:val="0"/>
                <w:numId w:val="16"/>
              </w:numPr>
              <w:jc w:val="both"/>
            </w:pPr>
            <w:r w:rsidRPr="00A54805">
              <w:t>pievienotās vērtības nodokļa maksājumi, ja tie nav atgūstami no valsts budžeta</w:t>
            </w:r>
          </w:p>
        </w:tc>
        <w:tc>
          <w:tcPr>
            <w:tcW w:w="2519" w:type="pct"/>
          </w:tcPr>
          <w:p w14:paraId="0319E0F0" w14:textId="09D28B75" w:rsidR="00C52356" w:rsidRPr="00A54805" w:rsidRDefault="00B04AC6" w:rsidP="00B04AC6">
            <w:pPr>
              <w:jc w:val="both"/>
            </w:pPr>
            <w:r>
              <w:t xml:space="preserve">1. </w:t>
            </w:r>
            <w:r w:rsidR="00C52356" w:rsidRPr="00A54805">
              <w:t>pievienotās vērtības nodokļa (turpmāk – PVN) deklarācija</w:t>
            </w:r>
            <w:r w:rsidR="00C52356" w:rsidRPr="00B04AC6">
              <w:rPr>
                <w:vertAlign w:val="superscript"/>
              </w:rPr>
              <w:t>4</w:t>
            </w:r>
            <w:r w:rsidR="00C52356" w:rsidRPr="00A54805">
              <w:t xml:space="preserve">, ja PVN maksājumi ir iekļauti projekta attiecināmajās izmaksās un PVN tiek maksāts saskaņā ar </w:t>
            </w:r>
            <w:hyperlink r:id="rId7" w:anchor="p142" w:history="1">
              <w:r w:rsidR="00C52356" w:rsidRPr="00A54805">
                <w:rPr>
                  <w:rStyle w:val="Hyperlink"/>
                </w:rPr>
                <w:t>Pievienotās vērtības nodokļa likuma 142. pantu</w:t>
              </w:r>
            </w:hyperlink>
            <w:r w:rsidR="0036535A" w:rsidRPr="00B04AC6">
              <w:rPr>
                <w:vertAlign w:val="superscript"/>
              </w:rPr>
              <w:t>5</w:t>
            </w:r>
          </w:p>
        </w:tc>
      </w:tr>
    </w:tbl>
    <w:p w14:paraId="00724B33" w14:textId="77777777" w:rsidR="00A97C3C" w:rsidRPr="00FE3358" w:rsidRDefault="00BD1BB6" w:rsidP="00A97C3C">
      <w:pPr>
        <w:pStyle w:val="ListParagraph"/>
        <w:ind w:left="0"/>
        <w:jc w:val="both"/>
        <w:rPr>
          <w:b/>
          <w:sz w:val="20"/>
          <w:szCs w:val="20"/>
        </w:rPr>
      </w:pPr>
      <w:r w:rsidRPr="00FE3358">
        <w:rPr>
          <w:b/>
          <w:sz w:val="20"/>
          <w:szCs w:val="20"/>
        </w:rPr>
        <w:t>Piezīmes:</w:t>
      </w:r>
    </w:p>
    <w:p w14:paraId="3BBBA4A4" w14:textId="641BAD03" w:rsidR="00A97C3C" w:rsidRPr="00FE3358" w:rsidRDefault="00A97C3C" w:rsidP="00E313DB">
      <w:pPr>
        <w:pStyle w:val="ListParagraph"/>
        <w:ind w:left="0"/>
        <w:jc w:val="both"/>
        <w:rPr>
          <w:sz w:val="20"/>
          <w:szCs w:val="20"/>
        </w:rPr>
      </w:pPr>
      <w:r w:rsidRPr="00FE3358">
        <w:rPr>
          <w:sz w:val="20"/>
          <w:szCs w:val="20"/>
          <w:vertAlign w:val="superscript"/>
        </w:rPr>
        <w:t>1</w:t>
      </w:r>
      <w:r w:rsidRPr="00FE3358">
        <w:rPr>
          <w:sz w:val="20"/>
          <w:szCs w:val="20"/>
        </w:rPr>
        <w:t xml:space="preserve"> </w:t>
      </w:r>
      <w:r w:rsidR="004764AB" w:rsidRPr="004764AB">
        <w:rPr>
          <w:sz w:val="20"/>
          <w:szCs w:val="20"/>
        </w:rPr>
        <w:t>Vides investīciju fondā iesniedz Attiecināmo izmaksu apliecinošo dokumentu kopijas, nevis oriģinālus vai norāda saiti uz tīmekļa vietni, kur ir pieejami dokumenti (publiski vai nosūtot pieejas datus).</w:t>
      </w:r>
    </w:p>
    <w:p w14:paraId="28A7FB80" w14:textId="73007896" w:rsidR="00A97C3C" w:rsidRPr="00FE3358" w:rsidRDefault="00A97C3C" w:rsidP="00E313DB">
      <w:pPr>
        <w:pStyle w:val="ListParagraph"/>
        <w:ind w:left="0"/>
        <w:jc w:val="both"/>
        <w:rPr>
          <w:sz w:val="20"/>
          <w:szCs w:val="20"/>
        </w:rPr>
      </w:pPr>
      <w:r w:rsidRPr="00FE3358">
        <w:rPr>
          <w:sz w:val="20"/>
          <w:szCs w:val="20"/>
          <w:vertAlign w:val="superscript"/>
        </w:rPr>
        <w:t>2</w:t>
      </w:r>
      <w:r w:rsidRPr="00FE3358">
        <w:rPr>
          <w:sz w:val="20"/>
          <w:szCs w:val="20"/>
        </w:rPr>
        <w:t xml:space="preserve"> </w:t>
      </w:r>
      <w:r w:rsidR="00A54805">
        <w:rPr>
          <w:sz w:val="20"/>
          <w:szCs w:val="20"/>
        </w:rPr>
        <w:t>d</w:t>
      </w:r>
      <w:r w:rsidRPr="00FE3358">
        <w:rPr>
          <w:sz w:val="20"/>
          <w:szCs w:val="20"/>
        </w:rPr>
        <w:t xml:space="preserve">arījumu apliecinošs dokuments </w:t>
      </w:r>
      <w:r w:rsidR="00DC5385" w:rsidRPr="00FE3358">
        <w:rPr>
          <w:sz w:val="20"/>
          <w:szCs w:val="20"/>
        </w:rPr>
        <w:t>ir</w:t>
      </w:r>
      <w:r w:rsidRPr="00FE3358">
        <w:rPr>
          <w:sz w:val="20"/>
          <w:szCs w:val="20"/>
        </w:rPr>
        <w:t xml:space="preserve"> rēķins, faktūrrēķins, preču pavadzīme-rēķins</w:t>
      </w:r>
      <w:r w:rsidR="00DC5385" w:rsidRPr="00FE3358">
        <w:rPr>
          <w:sz w:val="20"/>
          <w:szCs w:val="20"/>
        </w:rPr>
        <w:t xml:space="preserve"> </w:t>
      </w:r>
      <w:r w:rsidR="001C37F8">
        <w:rPr>
          <w:sz w:val="20"/>
          <w:szCs w:val="20"/>
        </w:rPr>
        <w:t>un citus</w:t>
      </w:r>
      <w:r w:rsidR="00DC5385" w:rsidRPr="00FE3358">
        <w:rPr>
          <w:sz w:val="20"/>
          <w:szCs w:val="20"/>
        </w:rPr>
        <w:t>.</w:t>
      </w:r>
      <w:r w:rsidR="001C37F8">
        <w:rPr>
          <w:sz w:val="20"/>
          <w:szCs w:val="20"/>
        </w:rPr>
        <w:t xml:space="preserve"> </w:t>
      </w:r>
      <w:r w:rsidR="001C37F8" w:rsidRPr="001C37F8">
        <w:rPr>
          <w:sz w:val="20"/>
          <w:szCs w:val="20"/>
        </w:rPr>
        <w:t>Būvdarbu līguma izpildes rēķiniem jānorāda grāmatvedības kontējums.</w:t>
      </w:r>
    </w:p>
    <w:p w14:paraId="6A9BC7BC" w14:textId="3D66FB19" w:rsidR="002A176B" w:rsidRPr="00FE3358" w:rsidRDefault="00C52356" w:rsidP="00E313DB">
      <w:pPr>
        <w:pStyle w:val="ListParagraph"/>
        <w:ind w:left="0"/>
        <w:jc w:val="both"/>
        <w:rPr>
          <w:sz w:val="20"/>
          <w:szCs w:val="20"/>
        </w:rPr>
      </w:pPr>
      <w:r>
        <w:rPr>
          <w:sz w:val="20"/>
          <w:szCs w:val="20"/>
          <w:vertAlign w:val="superscript"/>
        </w:rPr>
        <w:t>3</w:t>
      </w:r>
      <w:r w:rsidR="002A176B" w:rsidRPr="00FE3358">
        <w:rPr>
          <w:sz w:val="20"/>
          <w:szCs w:val="20"/>
        </w:rPr>
        <w:t xml:space="preserve"> </w:t>
      </w:r>
      <w:r w:rsidR="00A54805">
        <w:rPr>
          <w:sz w:val="20"/>
          <w:szCs w:val="20"/>
        </w:rPr>
        <w:t>i</w:t>
      </w:r>
      <w:r w:rsidR="002A176B" w:rsidRPr="00FE3358">
        <w:rPr>
          <w:sz w:val="20"/>
          <w:szCs w:val="20"/>
        </w:rPr>
        <w:t xml:space="preserve">esniedz kredītiestādes apstiprinātu vai finansējuma saņēmēja, atbilstoši </w:t>
      </w:r>
      <w:hyperlink r:id="rId8" w:anchor="p11" w:history="1">
        <w:r w:rsidR="00A64895" w:rsidRPr="00C52356">
          <w:rPr>
            <w:rStyle w:val="Hyperlink"/>
            <w:sz w:val="20"/>
            <w:szCs w:val="20"/>
          </w:rPr>
          <w:t>Grāmatvedības likum</w:t>
        </w:r>
        <w:r>
          <w:rPr>
            <w:rStyle w:val="Hyperlink"/>
            <w:sz w:val="20"/>
            <w:szCs w:val="20"/>
          </w:rPr>
          <w:t>a</w:t>
        </w:r>
        <w:r w:rsidR="002A176B" w:rsidRPr="00C52356">
          <w:rPr>
            <w:rStyle w:val="Hyperlink"/>
            <w:sz w:val="20"/>
            <w:szCs w:val="20"/>
          </w:rPr>
          <w:t xml:space="preserve"> </w:t>
        </w:r>
        <w:r w:rsidR="00A64895" w:rsidRPr="00C52356">
          <w:rPr>
            <w:rStyle w:val="Hyperlink"/>
            <w:sz w:val="20"/>
            <w:szCs w:val="20"/>
          </w:rPr>
          <w:t>11.</w:t>
        </w:r>
        <w:r w:rsidR="00364F1C" w:rsidRPr="00C52356">
          <w:rPr>
            <w:rStyle w:val="Hyperlink"/>
            <w:sz w:val="20"/>
            <w:szCs w:val="20"/>
          </w:rPr>
          <w:t xml:space="preserve"> </w:t>
        </w:r>
        <w:r w:rsidR="002A176B" w:rsidRPr="00C52356">
          <w:rPr>
            <w:rStyle w:val="Hyperlink"/>
            <w:sz w:val="20"/>
            <w:szCs w:val="20"/>
          </w:rPr>
          <w:t>pant</w:t>
        </w:r>
        <w:r w:rsidR="00A64895" w:rsidRPr="00C52356">
          <w:rPr>
            <w:rStyle w:val="Hyperlink"/>
            <w:sz w:val="20"/>
            <w:szCs w:val="20"/>
          </w:rPr>
          <w:t>am</w:t>
        </w:r>
      </w:hyperlink>
      <w:r w:rsidR="002A176B" w:rsidRPr="00FE3358">
        <w:rPr>
          <w:sz w:val="20"/>
          <w:szCs w:val="20"/>
        </w:rPr>
        <w:t>, apliecinātu konta apgrozījuma izdruku.</w:t>
      </w:r>
    </w:p>
    <w:p w14:paraId="754A63F1" w14:textId="1B30985C" w:rsidR="005563E1" w:rsidRDefault="00C52356" w:rsidP="00E313DB">
      <w:pPr>
        <w:pStyle w:val="ListParagraph"/>
        <w:ind w:left="0"/>
        <w:jc w:val="both"/>
        <w:rPr>
          <w:sz w:val="20"/>
          <w:szCs w:val="20"/>
        </w:rPr>
      </w:pPr>
      <w:r>
        <w:rPr>
          <w:sz w:val="20"/>
          <w:szCs w:val="20"/>
          <w:vertAlign w:val="superscript"/>
        </w:rPr>
        <w:t>4</w:t>
      </w:r>
      <w:r w:rsidR="002A176B" w:rsidRPr="00FE3358">
        <w:rPr>
          <w:sz w:val="20"/>
          <w:szCs w:val="20"/>
        </w:rPr>
        <w:t xml:space="preserve"> </w:t>
      </w:r>
      <w:r w:rsidR="00A54805">
        <w:rPr>
          <w:sz w:val="20"/>
          <w:szCs w:val="20"/>
        </w:rPr>
        <w:t>i</w:t>
      </w:r>
      <w:r w:rsidR="002A176B" w:rsidRPr="00FE3358">
        <w:rPr>
          <w:sz w:val="20"/>
          <w:szCs w:val="20"/>
        </w:rPr>
        <w:t>esniegtās PVN deklarācijas pārskatā par priekšnodokļa un nodokļa summām, kas norādītas nodokļa deklarācijā, ir jābūt norādītiem visiem nodokļa rēķiniem, kas apliecina darījumu veikšanu projekta ietvaros un uz kuru pamata ir aprēķināts PVN samaksai valsts budžetā. PVN izmaksas var tikt attiecinātas Projekta ietvaros, ja tās ir faktiski veiktas no Projekta konta.</w:t>
      </w:r>
    </w:p>
    <w:p w14:paraId="3251B44D" w14:textId="3F4AB1A8" w:rsidR="0036535A" w:rsidRPr="00FE3358" w:rsidRDefault="0036535A" w:rsidP="00E313DB">
      <w:pPr>
        <w:pStyle w:val="ListParagraph"/>
        <w:ind w:left="0"/>
        <w:jc w:val="both"/>
        <w:rPr>
          <w:sz w:val="20"/>
          <w:szCs w:val="20"/>
        </w:rPr>
      </w:pPr>
      <w:r>
        <w:rPr>
          <w:sz w:val="20"/>
          <w:szCs w:val="20"/>
          <w:vertAlign w:val="superscript"/>
        </w:rPr>
        <w:t>5</w:t>
      </w:r>
      <w:r w:rsidRPr="00FE3358">
        <w:rPr>
          <w:sz w:val="20"/>
          <w:szCs w:val="20"/>
        </w:rPr>
        <w:t xml:space="preserve"> </w:t>
      </w:r>
      <w:r>
        <w:rPr>
          <w:sz w:val="20"/>
          <w:szCs w:val="20"/>
        </w:rPr>
        <w:t>n</w:t>
      </w:r>
      <w:r w:rsidRPr="00FE3358">
        <w:rPr>
          <w:sz w:val="20"/>
          <w:szCs w:val="20"/>
        </w:rPr>
        <w:t>eattiecas iesniedzot transferta maksājuma pieprasījumu.</w:t>
      </w:r>
    </w:p>
    <w:p w14:paraId="223BEAFD" w14:textId="77777777" w:rsidR="002A176B" w:rsidRPr="00FE3358" w:rsidRDefault="002A176B" w:rsidP="00E313DB">
      <w:pPr>
        <w:pStyle w:val="ListParagraph"/>
        <w:ind w:left="0"/>
        <w:jc w:val="both"/>
        <w:rPr>
          <w:sz w:val="20"/>
          <w:szCs w:val="20"/>
        </w:rPr>
      </w:pPr>
    </w:p>
    <w:p w14:paraId="6FB2AC0C" w14:textId="39E8D127" w:rsidR="005563E1" w:rsidRPr="00FE3358" w:rsidRDefault="00DC5385" w:rsidP="00E313DB">
      <w:pPr>
        <w:pStyle w:val="ListParagraph"/>
        <w:ind w:left="0"/>
        <w:jc w:val="both"/>
        <w:rPr>
          <w:sz w:val="20"/>
          <w:szCs w:val="20"/>
        </w:rPr>
      </w:pPr>
      <w:r w:rsidRPr="00FE3358">
        <w:rPr>
          <w:sz w:val="20"/>
          <w:szCs w:val="20"/>
        </w:rPr>
        <w:t xml:space="preserve">Izstrādājot un noformējot maksājumu un darījumu apliecinošos dokumentus, ņem vērā </w:t>
      </w:r>
      <w:hyperlink r:id="rId9" w:history="1">
        <w:r w:rsidR="00A64895" w:rsidRPr="00C52356">
          <w:rPr>
            <w:rStyle w:val="Hyperlink"/>
            <w:sz w:val="20"/>
            <w:szCs w:val="20"/>
          </w:rPr>
          <w:t>G</w:t>
        </w:r>
        <w:r w:rsidRPr="00C52356">
          <w:rPr>
            <w:rStyle w:val="Hyperlink"/>
            <w:sz w:val="20"/>
            <w:szCs w:val="20"/>
          </w:rPr>
          <w:t>rāmatvedīb</w:t>
        </w:r>
        <w:r w:rsidR="00A64895" w:rsidRPr="00C52356">
          <w:rPr>
            <w:rStyle w:val="Hyperlink"/>
            <w:sz w:val="20"/>
            <w:szCs w:val="20"/>
          </w:rPr>
          <w:t>as likum</w:t>
        </w:r>
        <w:r w:rsidR="00C52356" w:rsidRPr="00C52356">
          <w:rPr>
            <w:rStyle w:val="Hyperlink"/>
            <w:sz w:val="20"/>
            <w:szCs w:val="20"/>
          </w:rPr>
          <w:t>ā</w:t>
        </w:r>
      </w:hyperlink>
      <w:r w:rsidR="00C52356">
        <w:rPr>
          <w:sz w:val="20"/>
          <w:szCs w:val="20"/>
        </w:rPr>
        <w:t>,</w:t>
      </w:r>
      <w:r w:rsidRPr="00FE3358">
        <w:rPr>
          <w:sz w:val="20"/>
          <w:szCs w:val="20"/>
        </w:rPr>
        <w:t xml:space="preserve"> </w:t>
      </w:r>
      <w:hyperlink r:id="rId10" w:history="1">
        <w:r w:rsidR="00C52356" w:rsidRPr="00C52356">
          <w:rPr>
            <w:rStyle w:val="Hyperlink"/>
            <w:sz w:val="20"/>
            <w:szCs w:val="20"/>
          </w:rPr>
          <w:t>Pievienotās vērtības nodokļa likumā</w:t>
        </w:r>
      </w:hyperlink>
      <w:r w:rsidRPr="00FE3358">
        <w:rPr>
          <w:sz w:val="20"/>
          <w:szCs w:val="20"/>
        </w:rPr>
        <w:t xml:space="preserve">, </w:t>
      </w:r>
      <w:hyperlink r:id="rId11" w:history="1">
        <w:r w:rsidRPr="00C52356">
          <w:rPr>
            <w:rStyle w:val="Hyperlink"/>
            <w:sz w:val="20"/>
            <w:szCs w:val="20"/>
          </w:rPr>
          <w:t>Ministru kabineta 20</w:t>
        </w:r>
        <w:r w:rsidR="00A64895" w:rsidRPr="00C52356">
          <w:rPr>
            <w:rStyle w:val="Hyperlink"/>
            <w:sz w:val="20"/>
            <w:szCs w:val="20"/>
          </w:rPr>
          <w:t>21</w:t>
        </w:r>
        <w:r w:rsidRPr="00C52356">
          <w:rPr>
            <w:rStyle w:val="Hyperlink"/>
            <w:sz w:val="20"/>
            <w:szCs w:val="20"/>
          </w:rPr>
          <w:t>.</w:t>
        </w:r>
        <w:r w:rsidR="00A64895" w:rsidRPr="00C52356">
          <w:rPr>
            <w:rStyle w:val="Hyperlink"/>
            <w:sz w:val="20"/>
            <w:szCs w:val="20"/>
          </w:rPr>
          <w:t> </w:t>
        </w:r>
        <w:r w:rsidRPr="00C52356">
          <w:rPr>
            <w:rStyle w:val="Hyperlink"/>
            <w:sz w:val="20"/>
            <w:szCs w:val="20"/>
          </w:rPr>
          <w:t>gada 21.</w:t>
        </w:r>
        <w:r w:rsidR="00A64895" w:rsidRPr="00C52356">
          <w:rPr>
            <w:rStyle w:val="Hyperlink"/>
            <w:sz w:val="20"/>
            <w:szCs w:val="20"/>
          </w:rPr>
          <w:t> decembra</w:t>
        </w:r>
        <w:r w:rsidRPr="00C52356">
          <w:rPr>
            <w:rStyle w:val="Hyperlink"/>
            <w:sz w:val="20"/>
            <w:szCs w:val="20"/>
          </w:rPr>
          <w:t xml:space="preserve"> noteikumos Nr.</w:t>
        </w:r>
        <w:r w:rsidR="00A64895" w:rsidRPr="00C52356">
          <w:rPr>
            <w:rStyle w:val="Hyperlink"/>
            <w:sz w:val="20"/>
            <w:szCs w:val="20"/>
          </w:rPr>
          <w:t> 877</w:t>
        </w:r>
        <w:r w:rsidRPr="00C52356">
          <w:rPr>
            <w:rStyle w:val="Hyperlink"/>
            <w:sz w:val="20"/>
            <w:szCs w:val="20"/>
          </w:rPr>
          <w:t xml:space="preserve"> </w:t>
        </w:r>
        <w:r w:rsidR="00A64895" w:rsidRPr="00C52356">
          <w:rPr>
            <w:rStyle w:val="Hyperlink"/>
            <w:sz w:val="20"/>
            <w:szCs w:val="20"/>
          </w:rPr>
          <w:t>“Grāmatvedības kārtošanas noteikumi</w:t>
        </w:r>
        <w:r w:rsidRPr="00C52356">
          <w:rPr>
            <w:rStyle w:val="Hyperlink"/>
            <w:sz w:val="20"/>
            <w:szCs w:val="20"/>
          </w:rPr>
          <w:t>”</w:t>
        </w:r>
      </w:hyperlink>
      <w:r w:rsidRPr="00FE3358">
        <w:rPr>
          <w:sz w:val="20"/>
          <w:szCs w:val="20"/>
        </w:rPr>
        <w:t xml:space="preserve">, </w:t>
      </w:r>
      <w:hyperlink r:id="rId12" w:history="1">
        <w:r w:rsidRPr="00C52356">
          <w:rPr>
            <w:rStyle w:val="Hyperlink"/>
            <w:sz w:val="20"/>
            <w:szCs w:val="20"/>
          </w:rPr>
          <w:t>Ministru kabineta 201</w:t>
        </w:r>
        <w:r w:rsidR="00A64895" w:rsidRPr="00C52356">
          <w:rPr>
            <w:rStyle w:val="Hyperlink"/>
            <w:sz w:val="20"/>
            <w:szCs w:val="20"/>
          </w:rPr>
          <w:t>8</w:t>
        </w:r>
        <w:r w:rsidRPr="00C52356">
          <w:rPr>
            <w:rStyle w:val="Hyperlink"/>
            <w:sz w:val="20"/>
            <w:szCs w:val="20"/>
          </w:rPr>
          <w:t>.</w:t>
        </w:r>
        <w:r w:rsidR="00A64895" w:rsidRPr="00C52356">
          <w:rPr>
            <w:rStyle w:val="Hyperlink"/>
            <w:sz w:val="20"/>
            <w:szCs w:val="20"/>
          </w:rPr>
          <w:t> </w:t>
        </w:r>
        <w:r w:rsidRPr="00C52356">
          <w:rPr>
            <w:rStyle w:val="Hyperlink"/>
            <w:sz w:val="20"/>
            <w:szCs w:val="20"/>
          </w:rPr>
          <w:t xml:space="preserve">gada </w:t>
        </w:r>
        <w:r w:rsidR="00A64895" w:rsidRPr="00C52356">
          <w:rPr>
            <w:rStyle w:val="Hyperlink"/>
            <w:sz w:val="20"/>
            <w:szCs w:val="20"/>
          </w:rPr>
          <w:t>4</w:t>
        </w:r>
        <w:r w:rsidR="00532560" w:rsidRPr="00C52356">
          <w:rPr>
            <w:rStyle w:val="Hyperlink"/>
            <w:sz w:val="20"/>
            <w:szCs w:val="20"/>
          </w:rPr>
          <w:t>.</w:t>
        </w:r>
        <w:r w:rsidR="00A64895" w:rsidRPr="00C52356">
          <w:rPr>
            <w:rStyle w:val="Hyperlink"/>
            <w:sz w:val="20"/>
            <w:szCs w:val="20"/>
          </w:rPr>
          <w:t> </w:t>
        </w:r>
        <w:r w:rsidR="00532560" w:rsidRPr="00C52356">
          <w:rPr>
            <w:rStyle w:val="Hyperlink"/>
            <w:sz w:val="20"/>
            <w:szCs w:val="20"/>
          </w:rPr>
          <w:t>septembra noteikumos Nr.</w:t>
        </w:r>
        <w:r w:rsidR="00A64895" w:rsidRPr="00C52356">
          <w:rPr>
            <w:rStyle w:val="Hyperlink"/>
            <w:sz w:val="20"/>
            <w:szCs w:val="20"/>
          </w:rPr>
          <w:t> 558</w:t>
        </w:r>
        <w:r w:rsidR="00532560" w:rsidRPr="00C52356">
          <w:rPr>
            <w:rStyle w:val="Hyperlink"/>
            <w:sz w:val="20"/>
            <w:szCs w:val="20"/>
          </w:rPr>
          <w:t xml:space="preserve"> “</w:t>
        </w:r>
        <w:r w:rsidRPr="00C52356">
          <w:rPr>
            <w:rStyle w:val="Hyperlink"/>
            <w:sz w:val="20"/>
            <w:szCs w:val="20"/>
          </w:rPr>
          <w:t>Dokumentu izstrā</w:t>
        </w:r>
        <w:r w:rsidR="00532560" w:rsidRPr="00C52356">
          <w:rPr>
            <w:rStyle w:val="Hyperlink"/>
            <w:sz w:val="20"/>
            <w:szCs w:val="20"/>
          </w:rPr>
          <w:t>dāšanas un noformēšanas kārtība”</w:t>
        </w:r>
      </w:hyperlink>
      <w:r w:rsidRPr="00FE3358">
        <w:rPr>
          <w:sz w:val="20"/>
          <w:szCs w:val="20"/>
        </w:rPr>
        <w:t>, kā arī citos normatīvajos aktos noteiktās prasības</w:t>
      </w:r>
      <w:r w:rsidR="005563E1" w:rsidRPr="00FE3358">
        <w:rPr>
          <w:sz w:val="20"/>
          <w:szCs w:val="20"/>
        </w:rPr>
        <w:t>.</w:t>
      </w:r>
    </w:p>
    <w:sectPr w:rsidR="005563E1" w:rsidRPr="00FE3358" w:rsidSect="00E23716">
      <w:headerReference w:type="default" r:id="rId13"/>
      <w:footerReference w:type="default" r:id="rId14"/>
      <w:pgSz w:w="16838" w:h="11906" w:orient="landscape"/>
      <w:pgMar w:top="1134" w:right="1134" w:bottom="1134" w:left="113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B624" w14:textId="77777777" w:rsidR="001A1ADD" w:rsidRDefault="001A1ADD" w:rsidP="00BD1BB6">
      <w:r>
        <w:separator/>
      </w:r>
    </w:p>
  </w:endnote>
  <w:endnote w:type="continuationSeparator" w:id="0">
    <w:p w14:paraId="09271DEA" w14:textId="77777777" w:rsidR="001A1ADD" w:rsidRDefault="001A1ADD" w:rsidP="00BD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A551" w14:textId="7F7C40D7" w:rsidR="00D21351" w:rsidRPr="00C52356" w:rsidRDefault="00D21351" w:rsidP="00C52356">
    <w:pPr>
      <w:pStyle w:val="Footer"/>
      <w:jc w:val="right"/>
      <w:rPr>
        <w:sz w:val="20"/>
        <w:szCs w:val="20"/>
      </w:rPr>
    </w:pPr>
    <w:r w:rsidRPr="00C52356">
      <w:rPr>
        <w:sz w:val="20"/>
        <w:szCs w:val="20"/>
      </w:rPr>
      <w:fldChar w:fldCharType="begin"/>
    </w:r>
    <w:r w:rsidRPr="00C52356">
      <w:rPr>
        <w:sz w:val="20"/>
        <w:szCs w:val="20"/>
      </w:rPr>
      <w:instrText xml:space="preserve"> PAGE   \* MERGEFORMAT </w:instrText>
    </w:r>
    <w:r w:rsidRPr="00C52356">
      <w:rPr>
        <w:sz w:val="20"/>
        <w:szCs w:val="20"/>
      </w:rPr>
      <w:fldChar w:fldCharType="separate"/>
    </w:r>
    <w:r w:rsidR="00FE3358" w:rsidRPr="00C52356">
      <w:rPr>
        <w:noProof/>
        <w:sz w:val="20"/>
        <w:szCs w:val="20"/>
      </w:rPr>
      <w:t>1</w:t>
    </w:r>
    <w:r w:rsidRPr="00C5235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310A" w14:textId="77777777" w:rsidR="001A1ADD" w:rsidRDefault="001A1ADD" w:rsidP="00BD1BB6">
      <w:r>
        <w:separator/>
      </w:r>
    </w:p>
  </w:footnote>
  <w:footnote w:type="continuationSeparator" w:id="0">
    <w:p w14:paraId="36911EDB" w14:textId="77777777" w:rsidR="001A1ADD" w:rsidRDefault="001A1ADD" w:rsidP="00BD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1239" w14:textId="21FDA4ED" w:rsidR="00E23716" w:rsidRPr="002B324E" w:rsidRDefault="00A64895" w:rsidP="00E23716">
    <w:pPr>
      <w:jc w:val="right"/>
      <w:rPr>
        <w:sz w:val="16"/>
        <w:szCs w:val="16"/>
      </w:rPr>
    </w:pPr>
    <w:r>
      <w:rPr>
        <w:sz w:val="16"/>
        <w:szCs w:val="16"/>
      </w:rPr>
      <w:t>“</w:t>
    </w:r>
    <w:r w:rsidR="00B04AC6" w:rsidRPr="00135E0D">
      <w:rPr>
        <w:sz w:val="16"/>
        <w:szCs w:val="16"/>
      </w:rPr>
      <w:t>Siltumnīcefekta gāzu emisiju samazināšana Iekšlietu ministrijas sistēmas iestāžu un pašvaldību policijas institūciju ēkās</w:t>
    </w:r>
    <w:r w:rsidR="00E23716" w:rsidRPr="002B324E">
      <w:rPr>
        <w:sz w:val="16"/>
        <w:szCs w:val="16"/>
      </w:rPr>
      <w:t>”</w:t>
    </w:r>
  </w:p>
  <w:p w14:paraId="4319B753" w14:textId="77777777" w:rsidR="00E23716" w:rsidRDefault="00E23716" w:rsidP="00E23716">
    <w:pPr>
      <w:jc w:val="right"/>
      <w:rPr>
        <w:sz w:val="16"/>
        <w:szCs w:val="16"/>
      </w:rPr>
    </w:pPr>
    <w:r w:rsidRPr="002B324E">
      <w:rPr>
        <w:sz w:val="16"/>
        <w:szCs w:val="16"/>
      </w:rPr>
      <w:t>Līgum</w:t>
    </w:r>
    <w:r>
      <w:rPr>
        <w:sz w:val="16"/>
        <w:szCs w:val="16"/>
      </w:rPr>
      <w:t>a</w:t>
    </w:r>
    <w:r w:rsidRPr="002B324E">
      <w:rPr>
        <w:sz w:val="16"/>
        <w:szCs w:val="16"/>
      </w:rPr>
      <w:t xml:space="preserve"> par projekta ī</w:t>
    </w:r>
    <w:r>
      <w:rPr>
        <w:sz w:val="16"/>
        <w:szCs w:val="16"/>
      </w:rPr>
      <w:t>stenošanu vispārīgo noteikumu 4. pielikums – Attiecināmās izmaksas attaisnojošie dokumenti</w:t>
    </w:r>
  </w:p>
  <w:p w14:paraId="4C9AC1D8" w14:textId="77777777" w:rsidR="00E23716" w:rsidRPr="00E23716" w:rsidRDefault="00E23716" w:rsidP="00E23716">
    <w:pP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FA9"/>
    <w:multiLevelType w:val="hybridMultilevel"/>
    <w:tmpl w:val="D340D298"/>
    <w:lvl w:ilvl="0" w:tplc="D4F2C1F2">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 w15:restartNumberingAfterBreak="0">
    <w:nsid w:val="10B77C90"/>
    <w:multiLevelType w:val="multilevel"/>
    <w:tmpl w:val="0426001F"/>
    <w:lvl w:ilvl="0">
      <w:start w:val="1"/>
      <w:numFmt w:val="decimal"/>
      <w:lvlText w:val="%1."/>
      <w:lvlJc w:val="left"/>
      <w:pPr>
        <w:ind w:left="3184" w:hanging="360"/>
      </w:pPr>
    </w:lvl>
    <w:lvl w:ilvl="1">
      <w:start w:val="1"/>
      <w:numFmt w:val="decimal"/>
      <w:lvlText w:val="%1.%2."/>
      <w:lvlJc w:val="left"/>
      <w:pPr>
        <w:ind w:left="3616" w:hanging="432"/>
      </w:pPr>
    </w:lvl>
    <w:lvl w:ilvl="2">
      <w:start w:val="1"/>
      <w:numFmt w:val="decimal"/>
      <w:lvlText w:val="%1.%2.%3."/>
      <w:lvlJc w:val="left"/>
      <w:pPr>
        <w:ind w:left="4048" w:hanging="504"/>
      </w:pPr>
    </w:lvl>
    <w:lvl w:ilvl="3">
      <w:start w:val="1"/>
      <w:numFmt w:val="decimal"/>
      <w:lvlText w:val="%1.%2.%3.%4."/>
      <w:lvlJc w:val="left"/>
      <w:pPr>
        <w:ind w:left="4552" w:hanging="648"/>
      </w:pPr>
    </w:lvl>
    <w:lvl w:ilvl="4">
      <w:start w:val="1"/>
      <w:numFmt w:val="decimal"/>
      <w:lvlText w:val="%1.%2.%3.%4.%5."/>
      <w:lvlJc w:val="left"/>
      <w:pPr>
        <w:ind w:left="5056" w:hanging="792"/>
      </w:pPr>
    </w:lvl>
    <w:lvl w:ilvl="5">
      <w:start w:val="1"/>
      <w:numFmt w:val="decimal"/>
      <w:lvlText w:val="%1.%2.%3.%4.%5.%6."/>
      <w:lvlJc w:val="left"/>
      <w:pPr>
        <w:ind w:left="5560" w:hanging="936"/>
      </w:pPr>
    </w:lvl>
    <w:lvl w:ilvl="6">
      <w:start w:val="1"/>
      <w:numFmt w:val="decimal"/>
      <w:lvlText w:val="%1.%2.%3.%4.%5.%6.%7."/>
      <w:lvlJc w:val="left"/>
      <w:pPr>
        <w:ind w:left="6064" w:hanging="1080"/>
      </w:pPr>
    </w:lvl>
    <w:lvl w:ilvl="7">
      <w:start w:val="1"/>
      <w:numFmt w:val="decimal"/>
      <w:lvlText w:val="%1.%2.%3.%4.%5.%6.%7.%8."/>
      <w:lvlJc w:val="left"/>
      <w:pPr>
        <w:ind w:left="6568" w:hanging="1224"/>
      </w:pPr>
    </w:lvl>
    <w:lvl w:ilvl="8">
      <w:start w:val="1"/>
      <w:numFmt w:val="decimal"/>
      <w:lvlText w:val="%1.%2.%3.%4.%5.%6.%7.%8.%9."/>
      <w:lvlJc w:val="left"/>
      <w:pPr>
        <w:ind w:left="7144" w:hanging="1440"/>
      </w:pPr>
    </w:lvl>
  </w:abstractNum>
  <w:abstractNum w:abstractNumId="2" w15:restartNumberingAfterBreak="0">
    <w:nsid w:val="13D04C80"/>
    <w:multiLevelType w:val="hybridMultilevel"/>
    <w:tmpl w:val="2850CA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F55194"/>
    <w:multiLevelType w:val="hybridMultilevel"/>
    <w:tmpl w:val="D430D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7B6352"/>
    <w:multiLevelType w:val="hybridMultilevel"/>
    <w:tmpl w:val="FB72C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6C3D45"/>
    <w:multiLevelType w:val="hybridMultilevel"/>
    <w:tmpl w:val="903CE42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82439C4"/>
    <w:multiLevelType w:val="hybridMultilevel"/>
    <w:tmpl w:val="8E0038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10F39"/>
    <w:multiLevelType w:val="hybridMultilevel"/>
    <w:tmpl w:val="FFB0CE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17389B"/>
    <w:multiLevelType w:val="hybridMultilevel"/>
    <w:tmpl w:val="5434D0B0"/>
    <w:lvl w:ilvl="0" w:tplc="FB90510A">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9" w15:restartNumberingAfterBreak="0">
    <w:nsid w:val="367D11EE"/>
    <w:multiLevelType w:val="multilevel"/>
    <w:tmpl w:val="FAF2B280"/>
    <w:lvl w:ilvl="0">
      <w:start w:val="5"/>
      <w:numFmt w:val="decimal"/>
      <w:lvlText w:val="%1."/>
      <w:lvlJc w:val="left"/>
      <w:pPr>
        <w:ind w:left="675" w:hanging="675"/>
      </w:pPr>
      <w:rPr>
        <w:rFonts w:cs="Times New Roman" w:hint="default"/>
      </w:rPr>
    </w:lvl>
    <w:lvl w:ilvl="1">
      <w:start w:val="2"/>
      <w:numFmt w:val="decimal"/>
      <w:lvlText w:val="%1.%2."/>
      <w:lvlJc w:val="left"/>
      <w:pPr>
        <w:ind w:left="4406"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369B0732"/>
    <w:multiLevelType w:val="hybridMultilevel"/>
    <w:tmpl w:val="004CBBFC"/>
    <w:lvl w:ilvl="0" w:tplc="E7D806FA">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1" w15:restartNumberingAfterBreak="0">
    <w:nsid w:val="3D442C13"/>
    <w:multiLevelType w:val="hybridMultilevel"/>
    <w:tmpl w:val="FB72C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E238C5"/>
    <w:multiLevelType w:val="multilevel"/>
    <w:tmpl w:val="39501CEA"/>
    <w:lvl w:ilvl="0">
      <w:start w:val="1"/>
      <w:numFmt w:val="decimal"/>
      <w:lvlText w:val="%1."/>
      <w:lvlJc w:val="left"/>
      <w:pPr>
        <w:tabs>
          <w:tab w:val="num" w:pos="577"/>
        </w:tabs>
        <w:ind w:left="180" w:firstLine="0"/>
      </w:pPr>
      <w:rPr>
        <w:rFonts w:hint="default"/>
        <w:b w:val="0"/>
        <w:color w:val="auto"/>
      </w:rPr>
    </w:lvl>
    <w:lvl w:ilvl="1">
      <w:start w:val="1"/>
      <w:numFmt w:val="decimal"/>
      <w:pStyle w:val="Noteikumuapakpunkti"/>
      <w:lvlText w:val="%1.%2."/>
      <w:lvlJc w:val="left"/>
      <w:pPr>
        <w:tabs>
          <w:tab w:val="num" w:pos="860"/>
        </w:tabs>
        <w:ind w:left="180" w:firstLine="0"/>
      </w:pPr>
      <w:rPr>
        <w:rFonts w:hint="default"/>
        <w:b w:val="0"/>
        <w:color w:val="auto"/>
      </w:rPr>
    </w:lvl>
    <w:lvl w:ilvl="2">
      <w:start w:val="1"/>
      <w:numFmt w:val="decimal"/>
      <w:pStyle w:val="Noteikumuapakpunkti2"/>
      <w:lvlText w:val="%1.%2.%3."/>
      <w:lvlJc w:val="left"/>
      <w:pPr>
        <w:tabs>
          <w:tab w:val="num" w:pos="851"/>
        </w:tabs>
        <w:ind w:left="0"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66036"/>
    <w:multiLevelType w:val="multilevel"/>
    <w:tmpl w:val="F6FA599E"/>
    <w:lvl w:ilvl="0">
      <w:start w:val="1"/>
      <w:numFmt w:val="decimal"/>
      <w:pStyle w:val="Punkts1Lmenis"/>
      <w:lvlText w:val="%1."/>
      <w:lvlJc w:val="left"/>
      <w:pPr>
        <w:tabs>
          <w:tab w:val="num" w:pos="567"/>
        </w:tabs>
        <w:ind w:left="567" w:hanging="567"/>
      </w:pPr>
      <w:rPr>
        <w:rFonts w:cs="Times New Roman" w:hint="default"/>
      </w:rPr>
    </w:lvl>
    <w:lvl w:ilvl="1">
      <w:start w:val="1"/>
      <w:numFmt w:val="decimal"/>
      <w:pStyle w:val="Punkts2Lmenis"/>
      <w:isLgl/>
      <w:lvlText w:val="%1.%2."/>
      <w:lvlJc w:val="left"/>
      <w:pPr>
        <w:tabs>
          <w:tab w:val="num" w:pos="851"/>
        </w:tabs>
        <w:ind w:left="851" w:hanging="567"/>
      </w:pPr>
      <w:rPr>
        <w:rFonts w:cs="Times New Roman" w:hint="default"/>
      </w:rPr>
    </w:lvl>
    <w:lvl w:ilvl="2">
      <w:start w:val="1"/>
      <w:numFmt w:val="decimal"/>
      <w:pStyle w:val="Punkts3Lmenis"/>
      <w:lvlText w:val="%1.%2.%3."/>
      <w:lvlJc w:val="left"/>
      <w:pPr>
        <w:tabs>
          <w:tab w:val="num" w:pos="1021"/>
        </w:tabs>
        <w:ind w:left="1021" w:hanging="567"/>
      </w:pPr>
      <w:rPr>
        <w:rFonts w:cs="Times New Roman" w:hint="default"/>
      </w:rPr>
    </w:lvl>
    <w:lvl w:ilvl="3">
      <w:start w:val="1"/>
      <w:numFmt w:val="decimal"/>
      <w:lvlText w:val="%4."/>
      <w:lvlJc w:val="left"/>
      <w:pPr>
        <w:tabs>
          <w:tab w:val="num" w:pos="1248"/>
        </w:tabs>
        <w:ind w:left="1248" w:hanging="567"/>
      </w:pPr>
      <w:rPr>
        <w:rFonts w:cs="Times New Roman" w:hint="default"/>
      </w:rPr>
    </w:lvl>
    <w:lvl w:ilvl="4">
      <w:start w:val="1"/>
      <w:numFmt w:val="lowerLetter"/>
      <w:lvlText w:val="%5."/>
      <w:lvlJc w:val="left"/>
      <w:pPr>
        <w:tabs>
          <w:tab w:val="num" w:pos="1475"/>
        </w:tabs>
        <w:ind w:left="1475" w:hanging="567"/>
      </w:pPr>
      <w:rPr>
        <w:rFonts w:cs="Times New Roman" w:hint="default"/>
      </w:rPr>
    </w:lvl>
    <w:lvl w:ilvl="5">
      <w:start w:val="1"/>
      <w:numFmt w:val="lowerRoman"/>
      <w:lvlText w:val="%6."/>
      <w:lvlJc w:val="right"/>
      <w:pPr>
        <w:tabs>
          <w:tab w:val="num" w:pos="1702"/>
        </w:tabs>
        <w:ind w:left="1702" w:hanging="567"/>
      </w:pPr>
      <w:rPr>
        <w:rFonts w:cs="Times New Roman" w:hint="default"/>
      </w:rPr>
    </w:lvl>
    <w:lvl w:ilvl="6">
      <w:start w:val="1"/>
      <w:numFmt w:val="decimal"/>
      <w:lvlText w:val="%7."/>
      <w:lvlJc w:val="left"/>
      <w:pPr>
        <w:tabs>
          <w:tab w:val="num" w:pos="1929"/>
        </w:tabs>
        <w:ind w:left="1929" w:hanging="567"/>
      </w:pPr>
      <w:rPr>
        <w:rFonts w:cs="Times New Roman" w:hint="default"/>
      </w:rPr>
    </w:lvl>
    <w:lvl w:ilvl="7">
      <w:start w:val="1"/>
      <w:numFmt w:val="lowerLetter"/>
      <w:lvlText w:val="%8."/>
      <w:lvlJc w:val="left"/>
      <w:pPr>
        <w:tabs>
          <w:tab w:val="num" w:pos="2156"/>
        </w:tabs>
        <w:ind w:left="2156" w:hanging="567"/>
      </w:pPr>
      <w:rPr>
        <w:rFonts w:cs="Times New Roman" w:hint="default"/>
      </w:rPr>
    </w:lvl>
    <w:lvl w:ilvl="8">
      <w:start w:val="1"/>
      <w:numFmt w:val="lowerRoman"/>
      <w:lvlText w:val="%9."/>
      <w:lvlJc w:val="right"/>
      <w:pPr>
        <w:tabs>
          <w:tab w:val="num" w:pos="2383"/>
        </w:tabs>
        <w:ind w:left="2383" w:hanging="567"/>
      </w:pPr>
      <w:rPr>
        <w:rFonts w:cs="Times New Roman" w:hint="default"/>
      </w:rPr>
    </w:lvl>
  </w:abstractNum>
  <w:abstractNum w:abstractNumId="14" w15:restartNumberingAfterBreak="0">
    <w:nsid w:val="40C048E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DF1010"/>
    <w:multiLevelType w:val="hybridMultilevel"/>
    <w:tmpl w:val="3134E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353B5D"/>
    <w:multiLevelType w:val="hybridMultilevel"/>
    <w:tmpl w:val="7B469488"/>
    <w:lvl w:ilvl="0" w:tplc="4BF4231E">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9508E2"/>
    <w:multiLevelType w:val="hybridMultilevel"/>
    <w:tmpl w:val="2E8E7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2009CF"/>
    <w:multiLevelType w:val="hybridMultilevel"/>
    <w:tmpl w:val="FB72CD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E4069C"/>
    <w:multiLevelType w:val="hybridMultilevel"/>
    <w:tmpl w:val="FB72C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A6A59"/>
    <w:multiLevelType w:val="multilevel"/>
    <w:tmpl w:val="BB4CD74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37E31B0"/>
    <w:multiLevelType w:val="hybridMultilevel"/>
    <w:tmpl w:val="8F7AC978"/>
    <w:lvl w:ilvl="0" w:tplc="56C8AE62">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22" w15:restartNumberingAfterBreak="0">
    <w:nsid w:val="766C5898"/>
    <w:multiLevelType w:val="hybridMultilevel"/>
    <w:tmpl w:val="261ED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1012923">
    <w:abstractNumId w:val="14"/>
  </w:num>
  <w:num w:numId="2" w16cid:durableId="312374977">
    <w:abstractNumId w:val="15"/>
  </w:num>
  <w:num w:numId="3" w16cid:durableId="1082069002">
    <w:abstractNumId w:val="12"/>
  </w:num>
  <w:num w:numId="4" w16cid:durableId="73741152">
    <w:abstractNumId w:val="1"/>
  </w:num>
  <w:num w:numId="5" w16cid:durableId="232812352">
    <w:abstractNumId w:val="17"/>
  </w:num>
  <w:num w:numId="6" w16cid:durableId="662011228">
    <w:abstractNumId w:val="16"/>
  </w:num>
  <w:num w:numId="7" w16cid:durableId="743642309">
    <w:abstractNumId w:val="2"/>
  </w:num>
  <w:num w:numId="8" w16cid:durableId="716927611">
    <w:abstractNumId w:val="9"/>
  </w:num>
  <w:num w:numId="9" w16cid:durableId="1158183376">
    <w:abstractNumId w:val="13"/>
  </w:num>
  <w:num w:numId="10" w16cid:durableId="578364297">
    <w:abstractNumId w:val="20"/>
  </w:num>
  <w:num w:numId="11" w16cid:durableId="1222473972">
    <w:abstractNumId w:val="0"/>
  </w:num>
  <w:num w:numId="12" w16cid:durableId="1120075816">
    <w:abstractNumId w:val="8"/>
  </w:num>
  <w:num w:numId="13" w16cid:durableId="1056078197">
    <w:abstractNumId w:val="21"/>
  </w:num>
  <w:num w:numId="14" w16cid:durableId="1299337573">
    <w:abstractNumId w:val="10"/>
  </w:num>
  <w:num w:numId="15" w16cid:durableId="6055345">
    <w:abstractNumId w:val="6"/>
  </w:num>
  <w:num w:numId="16" w16cid:durableId="563297685">
    <w:abstractNumId w:val="5"/>
  </w:num>
  <w:num w:numId="17" w16cid:durableId="645546659">
    <w:abstractNumId w:val="3"/>
  </w:num>
  <w:num w:numId="18" w16cid:durableId="449711711">
    <w:abstractNumId w:val="7"/>
  </w:num>
  <w:num w:numId="19" w16cid:durableId="438447992">
    <w:abstractNumId w:val="18"/>
  </w:num>
  <w:num w:numId="20" w16cid:durableId="873738376">
    <w:abstractNumId w:val="22"/>
  </w:num>
  <w:num w:numId="21" w16cid:durableId="2105490052">
    <w:abstractNumId w:val="11"/>
  </w:num>
  <w:num w:numId="22" w16cid:durableId="59911762">
    <w:abstractNumId w:val="4"/>
  </w:num>
  <w:num w:numId="23" w16cid:durableId="9152831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F3"/>
    <w:rsid w:val="0004220D"/>
    <w:rsid w:val="00071BAD"/>
    <w:rsid w:val="000745D0"/>
    <w:rsid w:val="0008725B"/>
    <w:rsid w:val="000A1981"/>
    <w:rsid w:val="000A4E1C"/>
    <w:rsid w:val="000E1B75"/>
    <w:rsid w:val="000E2DA3"/>
    <w:rsid w:val="00103A17"/>
    <w:rsid w:val="00111C14"/>
    <w:rsid w:val="00112946"/>
    <w:rsid w:val="001131F0"/>
    <w:rsid w:val="0011622C"/>
    <w:rsid w:val="001232E9"/>
    <w:rsid w:val="0012491B"/>
    <w:rsid w:val="00133ED3"/>
    <w:rsid w:val="00152624"/>
    <w:rsid w:val="001A1ADD"/>
    <w:rsid w:val="001C37F8"/>
    <w:rsid w:val="001C685E"/>
    <w:rsid w:val="001D4E08"/>
    <w:rsid w:val="001E66B2"/>
    <w:rsid w:val="001E72BE"/>
    <w:rsid w:val="002061D2"/>
    <w:rsid w:val="00261406"/>
    <w:rsid w:val="00265F4E"/>
    <w:rsid w:val="00281871"/>
    <w:rsid w:val="00293235"/>
    <w:rsid w:val="002A176B"/>
    <w:rsid w:val="002E3394"/>
    <w:rsid w:val="002F2998"/>
    <w:rsid w:val="00300A40"/>
    <w:rsid w:val="00302F57"/>
    <w:rsid w:val="003640F5"/>
    <w:rsid w:val="00364F1C"/>
    <w:rsid w:val="0036535A"/>
    <w:rsid w:val="00370C6D"/>
    <w:rsid w:val="003772E6"/>
    <w:rsid w:val="00397371"/>
    <w:rsid w:val="003A0C79"/>
    <w:rsid w:val="003A162B"/>
    <w:rsid w:val="003A2EF6"/>
    <w:rsid w:val="003A4F07"/>
    <w:rsid w:val="003A7C70"/>
    <w:rsid w:val="003B4245"/>
    <w:rsid w:val="003C2410"/>
    <w:rsid w:val="003D0983"/>
    <w:rsid w:val="003E5B2A"/>
    <w:rsid w:val="00433D45"/>
    <w:rsid w:val="00460C98"/>
    <w:rsid w:val="004764AB"/>
    <w:rsid w:val="004B2663"/>
    <w:rsid w:val="004B33A5"/>
    <w:rsid w:val="004C0636"/>
    <w:rsid w:val="004C780A"/>
    <w:rsid w:val="004E1D25"/>
    <w:rsid w:val="00501AC7"/>
    <w:rsid w:val="0051752B"/>
    <w:rsid w:val="00532560"/>
    <w:rsid w:val="005425B4"/>
    <w:rsid w:val="005562B7"/>
    <w:rsid w:val="005563E1"/>
    <w:rsid w:val="005631DF"/>
    <w:rsid w:val="00567CAD"/>
    <w:rsid w:val="00570F26"/>
    <w:rsid w:val="005C3450"/>
    <w:rsid w:val="005C7872"/>
    <w:rsid w:val="005D632C"/>
    <w:rsid w:val="005E59DB"/>
    <w:rsid w:val="0062698A"/>
    <w:rsid w:val="006502C6"/>
    <w:rsid w:val="006B03E4"/>
    <w:rsid w:val="006B0E85"/>
    <w:rsid w:val="006D3155"/>
    <w:rsid w:val="006D7670"/>
    <w:rsid w:val="006E4108"/>
    <w:rsid w:val="006F71A3"/>
    <w:rsid w:val="00717F28"/>
    <w:rsid w:val="00730430"/>
    <w:rsid w:val="00735BA5"/>
    <w:rsid w:val="007446C7"/>
    <w:rsid w:val="007552D0"/>
    <w:rsid w:val="00760F3F"/>
    <w:rsid w:val="00793E67"/>
    <w:rsid w:val="007F401F"/>
    <w:rsid w:val="00825D34"/>
    <w:rsid w:val="0083272A"/>
    <w:rsid w:val="00850B2A"/>
    <w:rsid w:val="008562A7"/>
    <w:rsid w:val="00892681"/>
    <w:rsid w:val="008A12DC"/>
    <w:rsid w:val="008B3799"/>
    <w:rsid w:val="008C6A94"/>
    <w:rsid w:val="008D66CA"/>
    <w:rsid w:val="008D7C22"/>
    <w:rsid w:val="008E4236"/>
    <w:rsid w:val="00915940"/>
    <w:rsid w:val="00923586"/>
    <w:rsid w:val="00935913"/>
    <w:rsid w:val="0094386E"/>
    <w:rsid w:val="00957591"/>
    <w:rsid w:val="00964388"/>
    <w:rsid w:val="00973E68"/>
    <w:rsid w:val="0097624E"/>
    <w:rsid w:val="009801C6"/>
    <w:rsid w:val="0098476A"/>
    <w:rsid w:val="009D48D3"/>
    <w:rsid w:val="00A405D9"/>
    <w:rsid w:val="00A54805"/>
    <w:rsid w:val="00A568E4"/>
    <w:rsid w:val="00A64895"/>
    <w:rsid w:val="00A661E0"/>
    <w:rsid w:val="00A666EE"/>
    <w:rsid w:val="00A8670C"/>
    <w:rsid w:val="00A94DF9"/>
    <w:rsid w:val="00A97C3C"/>
    <w:rsid w:val="00AA6E6F"/>
    <w:rsid w:val="00AB52D0"/>
    <w:rsid w:val="00AE1502"/>
    <w:rsid w:val="00AE49CE"/>
    <w:rsid w:val="00AF5AF9"/>
    <w:rsid w:val="00B04AC6"/>
    <w:rsid w:val="00B17229"/>
    <w:rsid w:val="00B36964"/>
    <w:rsid w:val="00B371B2"/>
    <w:rsid w:val="00B57E21"/>
    <w:rsid w:val="00B6173A"/>
    <w:rsid w:val="00B8731B"/>
    <w:rsid w:val="00BA1DF2"/>
    <w:rsid w:val="00BB0A39"/>
    <w:rsid w:val="00BD1BB6"/>
    <w:rsid w:val="00BE18DC"/>
    <w:rsid w:val="00C02F3D"/>
    <w:rsid w:val="00C11571"/>
    <w:rsid w:val="00C2057F"/>
    <w:rsid w:val="00C33A5E"/>
    <w:rsid w:val="00C3659E"/>
    <w:rsid w:val="00C40F4B"/>
    <w:rsid w:val="00C47A91"/>
    <w:rsid w:val="00C52356"/>
    <w:rsid w:val="00C546C8"/>
    <w:rsid w:val="00C56898"/>
    <w:rsid w:val="00C60798"/>
    <w:rsid w:val="00C82C94"/>
    <w:rsid w:val="00C87E1E"/>
    <w:rsid w:val="00C91874"/>
    <w:rsid w:val="00C92577"/>
    <w:rsid w:val="00CA11A9"/>
    <w:rsid w:val="00CA77D3"/>
    <w:rsid w:val="00CB0A11"/>
    <w:rsid w:val="00CB79F7"/>
    <w:rsid w:val="00CC32C7"/>
    <w:rsid w:val="00CC4624"/>
    <w:rsid w:val="00CC7431"/>
    <w:rsid w:val="00CE4B75"/>
    <w:rsid w:val="00D06EE8"/>
    <w:rsid w:val="00D21351"/>
    <w:rsid w:val="00D36E2C"/>
    <w:rsid w:val="00DA0EE9"/>
    <w:rsid w:val="00DB401A"/>
    <w:rsid w:val="00DC5385"/>
    <w:rsid w:val="00DF728E"/>
    <w:rsid w:val="00E23716"/>
    <w:rsid w:val="00E313DB"/>
    <w:rsid w:val="00E8248B"/>
    <w:rsid w:val="00EB2B70"/>
    <w:rsid w:val="00EB3749"/>
    <w:rsid w:val="00F06A34"/>
    <w:rsid w:val="00F225B5"/>
    <w:rsid w:val="00F32FE1"/>
    <w:rsid w:val="00F371F3"/>
    <w:rsid w:val="00F6359D"/>
    <w:rsid w:val="00F65AFE"/>
    <w:rsid w:val="00F7682F"/>
    <w:rsid w:val="00FE33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1311A"/>
  <w15:docId w15:val="{713E855F-2020-4838-953D-67BA2FD1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1F3"/>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371F3"/>
    <w:rPr>
      <w:rFonts w:ascii="Tahoma" w:hAnsi="Tahoma"/>
      <w:sz w:val="16"/>
      <w:szCs w:val="16"/>
      <w:lang w:val="x-none"/>
    </w:rPr>
  </w:style>
  <w:style w:type="character" w:customStyle="1" w:styleId="BalloonTextChar">
    <w:name w:val="Balloon Text Char"/>
    <w:link w:val="BalloonText"/>
    <w:semiHidden/>
    <w:locked/>
    <w:rsid w:val="00F371F3"/>
    <w:rPr>
      <w:rFonts w:ascii="Tahoma" w:hAnsi="Tahoma" w:cs="Tahoma"/>
      <w:sz w:val="16"/>
      <w:szCs w:val="16"/>
      <w:lang w:eastAsia="lv-LV"/>
    </w:rPr>
  </w:style>
  <w:style w:type="character" w:styleId="CommentReference">
    <w:name w:val="annotation reference"/>
    <w:uiPriority w:val="99"/>
    <w:semiHidden/>
    <w:rsid w:val="00300A40"/>
    <w:rPr>
      <w:rFonts w:cs="Times New Roman"/>
      <w:sz w:val="16"/>
      <w:szCs w:val="16"/>
    </w:rPr>
  </w:style>
  <w:style w:type="paragraph" w:styleId="CommentText">
    <w:name w:val="annotation text"/>
    <w:basedOn w:val="Normal"/>
    <w:link w:val="CommentTextChar"/>
    <w:uiPriority w:val="99"/>
    <w:semiHidden/>
    <w:rsid w:val="00300A40"/>
    <w:rPr>
      <w:sz w:val="20"/>
      <w:szCs w:val="20"/>
      <w:lang w:val="x-none"/>
    </w:rPr>
  </w:style>
  <w:style w:type="character" w:customStyle="1" w:styleId="CommentTextChar">
    <w:name w:val="Comment Text Char"/>
    <w:link w:val="CommentText"/>
    <w:uiPriority w:val="99"/>
    <w:semiHidden/>
    <w:locked/>
    <w:rsid w:val="00300A40"/>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300A40"/>
    <w:rPr>
      <w:b/>
      <w:bCs/>
    </w:rPr>
  </w:style>
  <w:style w:type="character" w:customStyle="1" w:styleId="CommentSubjectChar">
    <w:name w:val="Comment Subject Char"/>
    <w:link w:val="CommentSubject"/>
    <w:semiHidden/>
    <w:locked/>
    <w:rsid w:val="00300A40"/>
    <w:rPr>
      <w:rFonts w:ascii="Times New Roman" w:hAnsi="Times New Roman" w:cs="Times New Roman"/>
      <w:b/>
      <w:bCs/>
      <w:sz w:val="20"/>
      <w:szCs w:val="20"/>
      <w:lang w:eastAsia="lv-LV"/>
    </w:rPr>
  </w:style>
  <w:style w:type="paragraph" w:customStyle="1" w:styleId="Noteikumutekstam">
    <w:name w:val="Noteikumu tekstam"/>
    <w:basedOn w:val="Normal"/>
    <w:link w:val="NoteikumutekstamRakstz"/>
    <w:autoRedefine/>
    <w:uiPriority w:val="99"/>
    <w:rsid w:val="003A2EF6"/>
    <w:pPr>
      <w:tabs>
        <w:tab w:val="left" w:pos="567"/>
      </w:tabs>
      <w:jc w:val="both"/>
    </w:pPr>
    <w:rPr>
      <w:rFonts w:eastAsia="Times New Roman"/>
      <w:sz w:val="22"/>
      <w:szCs w:val="22"/>
      <w:lang w:val="x-none" w:eastAsia="x-none"/>
    </w:rPr>
  </w:style>
  <w:style w:type="character" w:customStyle="1" w:styleId="NoteikumutekstamRakstz">
    <w:name w:val="Noteikumu tekstam Rakstz."/>
    <w:link w:val="Noteikumutekstam"/>
    <w:uiPriority w:val="99"/>
    <w:rsid w:val="003A2EF6"/>
    <w:rPr>
      <w:rFonts w:ascii="Times New Roman" w:eastAsia="Times New Roman" w:hAnsi="Times New Roman"/>
      <w:sz w:val="22"/>
      <w:szCs w:val="22"/>
    </w:rPr>
  </w:style>
  <w:style w:type="paragraph" w:customStyle="1" w:styleId="Noteikumuapakpunkti">
    <w:name w:val="Noteikumu apakšpunkti"/>
    <w:basedOn w:val="Normal"/>
    <w:uiPriority w:val="99"/>
    <w:rsid w:val="00261406"/>
    <w:pPr>
      <w:numPr>
        <w:ilvl w:val="1"/>
        <w:numId w:val="3"/>
      </w:numPr>
      <w:tabs>
        <w:tab w:val="left" w:pos="567"/>
      </w:tabs>
      <w:spacing w:after="120"/>
      <w:jc w:val="both"/>
    </w:pPr>
    <w:rPr>
      <w:rFonts w:eastAsia="Times New Roman"/>
      <w:sz w:val="22"/>
      <w:szCs w:val="22"/>
    </w:rPr>
  </w:style>
  <w:style w:type="paragraph" w:customStyle="1" w:styleId="Noteikumuapakpunkti2">
    <w:name w:val="Noteikumu apakšpunkti_2"/>
    <w:basedOn w:val="Noteikumuapakpunkti"/>
    <w:uiPriority w:val="99"/>
    <w:rsid w:val="00261406"/>
    <w:pPr>
      <w:numPr>
        <w:ilvl w:val="2"/>
      </w:numPr>
    </w:pPr>
  </w:style>
  <w:style w:type="paragraph" w:customStyle="1" w:styleId="Noteikumuapakpunkt3">
    <w:name w:val="Noteikumu apakšpunkt_3"/>
    <w:basedOn w:val="Noteikumuapakpunkti2"/>
    <w:uiPriority w:val="99"/>
    <w:rsid w:val="00261406"/>
    <w:pPr>
      <w:numPr>
        <w:ilvl w:val="3"/>
      </w:numPr>
    </w:pPr>
  </w:style>
  <w:style w:type="paragraph" w:styleId="ListParagraph">
    <w:name w:val="List Paragraph"/>
    <w:basedOn w:val="Normal"/>
    <w:uiPriority w:val="34"/>
    <w:qFormat/>
    <w:rsid w:val="00A97C3C"/>
    <w:pPr>
      <w:spacing w:after="200" w:line="276" w:lineRule="auto"/>
      <w:ind w:left="720"/>
      <w:contextualSpacing/>
    </w:pPr>
    <w:rPr>
      <w:lang w:eastAsia="en-US"/>
    </w:rPr>
  </w:style>
  <w:style w:type="paragraph" w:customStyle="1" w:styleId="Punkts1Lmenis">
    <w:name w:val="Punkts 1.Līmenis"/>
    <w:basedOn w:val="Normal"/>
    <w:link w:val="Punkts1LmenisChar"/>
    <w:rsid w:val="003B4245"/>
    <w:pPr>
      <w:keepLines/>
      <w:numPr>
        <w:numId w:val="9"/>
      </w:numPr>
      <w:shd w:val="clear" w:color="auto" w:fill="FFFFFF"/>
      <w:spacing w:before="20" w:after="20"/>
      <w:jc w:val="both"/>
    </w:pPr>
    <w:rPr>
      <w:szCs w:val="28"/>
      <w:lang w:val="x-none" w:eastAsia="x-none"/>
    </w:rPr>
  </w:style>
  <w:style w:type="character" w:customStyle="1" w:styleId="Punkts1LmenisChar">
    <w:name w:val="Punkts 1.Līmenis Char"/>
    <w:link w:val="Punkts1Lmenis"/>
    <w:locked/>
    <w:rsid w:val="003B4245"/>
    <w:rPr>
      <w:rFonts w:ascii="Times New Roman" w:hAnsi="Times New Roman"/>
      <w:sz w:val="24"/>
      <w:szCs w:val="28"/>
      <w:shd w:val="clear" w:color="auto" w:fill="FFFFFF"/>
    </w:rPr>
  </w:style>
  <w:style w:type="paragraph" w:customStyle="1" w:styleId="Punkts2Lmenis">
    <w:name w:val="Punkts 2.Līmenis"/>
    <w:basedOn w:val="Punkts1Lmenis"/>
    <w:rsid w:val="003B4245"/>
    <w:pPr>
      <w:numPr>
        <w:ilvl w:val="1"/>
      </w:numPr>
      <w:tabs>
        <w:tab w:val="clear" w:pos="851"/>
        <w:tab w:val="num" w:pos="360"/>
      </w:tabs>
    </w:pPr>
  </w:style>
  <w:style w:type="paragraph" w:customStyle="1" w:styleId="Punkts3Lmenis">
    <w:name w:val="Punkts 3.Līmenis"/>
    <w:basedOn w:val="Punkts2Lmenis"/>
    <w:rsid w:val="003B4245"/>
    <w:pPr>
      <w:numPr>
        <w:ilvl w:val="2"/>
      </w:numPr>
      <w:tabs>
        <w:tab w:val="clear" w:pos="1021"/>
        <w:tab w:val="num" w:pos="360"/>
      </w:tabs>
    </w:pPr>
  </w:style>
  <w:style w:type="paragraph" w:customStyle="1" w:styleId="Lister">
    <w:name w:val="Lister"/>
    <w:basedOn w:val="Normal"/>
    <w:link w:val="ListerChar"/>
    <w:rsid w:val="003B4245"/>
    <w:rPr>
      <w:szCs w:val="28"/>
      <w:lang w:val="x-none" w:eastAsia="x-none"/>
    </w:rPr>
  </w:style>
  <w:style w:type="character" w:customStyle="1" w:styleId="ListerChar">
    <w:name w:val="Lister Char"/>
    <w:link w:val="Lister"/>
    <w:locked/>
    <w:rsid w:val="003B4245"/>
    <w:rPr>
      <w:rFonts w:ascii="Times New Roman" w:hAnsi="Times New Roman"/>
      <w:sz w:val="24"/>
      <w:szCs w:val="28"/>
    </w:rPr>
  </w:style>
  <w:style w:type="paragraph" w:styleId="Header">
    <w:name w:val="header"/>
    <w:basedOn w:val="Normal"/>
    <w:link w:val="HeaderChar"/>
    <w:rsid w:val="00BD1BB6"/>
    <w:pPr>
      <w:tabs>
        <w:tab w:val="center" w:pos="4153"/>
        <w:tab w:val="right" w:pos="8306"/>
      </w:tabs>
    </w:pPr>
    <w:rPr>
      <w:lang w:val="x-none" w:eastAsia="x-none"/>
    </w:rPr>
  </w:style>
  <w:style w:type="character" w:customStyle="1" w:styleId="HeaderChar">
    <w:name w:val="Header Char"/>
    <w:link w:val="Header"/>
    <w:rsid w:val="00BD1BB6"/>
    <w:rPr>
      <w:rFonts w:ascii="Times New Roman" w:hAnsi="Times New Roman"/>
      <w:sz w:val="24"/>
      <w:szCs w:val="24"/>
    </w:rPr>
  </w:style>
  <w:style w:type="paragraph" w:styleId="Footer">
    <w:name w:val="footer"/>
    <w:basedOn w:val="Normal"/>
    <w:link w:val="FooterChar"/>
    <w:uiPriority w:val="99"/>
    <w:rsid w:val="00BD1BB6"/>
    <w:pPr>
      <w:tabs>
        <w:tab w:val="center" w:pos="4153"/>
        <w:tab w:val="right" w:pos="8306"/>
      </w:tabs>
    </w:pPr>
    <w:rPr>
      <w:lang w:val="x-none" w:eastAsia="x-none"/>
    </w:rPr>
  </w:style>
  <w:style w:type="character" w:customStyle="1" w:styleId="FooterChar">
    <w:name w:val="Footer Char"/>
    <w:link w:val="Footer"/>
    <w:uiPriority w:val="99"/>
    <w:rsid w:val="00BD1BB6"/>
    <w:rPr>
      <w:rFonts w:ascii="Times New Roman" w:hAnsi="Times New Roman"/>
      <w:sz w:val="24"/>
      <w:szCs w:val="24"/>
    </w:rPr>
  </w:style>
  <w:style w:type="paragraph" w:customStyle="1" w:styleId="naisf">
    <w:name w:val="naisf"/>
    <w:basedOn w:val="Normal"/>
    <w:rsid w:val="005563E1"/>
    <w:pPr>
      <w:spacing w:before="100" w:beforeAutospacing="1" w:after="100" w:afterAutospacing="1"/>
      <w:jc w:val="both"/>
    </w:pPr>
    <w:rPr>
      <w:rFonts w:eastAsia="Times New Roman"/>
      <w:lang w:val="en-GB" w:eastAsia="en-US"/>
    </w:rPr>
  </w:style>
  <w:style w:type="character" w:styleId="Hyperlink">
    <w:name w:val="Hyperlink"/>
    <w:uiPriority w:val="99"/>
    <w:unhideWhenUsed/>
    <w:rsid w:val="00964388"/>
    <w:rPr>
      <w:color w:val="0000FF"/>
      <w:u w:val="single"/>
    </w:rPr>
  </w:style>
  <w:style w:type="paragraph" w:customStyle="1" w:styleId="tv213">
    <w:name w:val="tv213"/>
    <w:basedOn w:val="Normal"/>
    <w:rsid w:val="0004220D"/>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A54805"/>
    <w:rPr>
      <w:color w:val="605E5C"/>
      <w:shd w:val="clear" w:color="auto" w:fill="E1DFDD"/>
    </w:rPr>
  </w:style>
  <w:style w:type="character" w:styleId="FollowedHyperlink">
    <w:name w:val="FollowedHyperlink"/>
    <w:basedOn w:val="DefaultParagraphFont"/>
    <w:semiHidden/>
    <w:unhideWhenUsed/>
    <w:rsid w:val="00C523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65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424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253451" TargetMode="External"/><Relationship Id="rId12" Type="http://schemas.openxmlformats.org/officeDocument/2006/relationships/hyperlink" Target="https://likumi.lv/ta/id/3014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2870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253451" TargetMode="External"/><Relationship Id="rId4" Type="http://schemas.openxmlformats.org/officeDocument/2006/relationships/webSettings" Target="webSettings.xml"/><Relationship Id="rId9" Type="http://schemas.openxmlformats.org/officeDocument/2006/relationships/hyperlink" Target="https://likumi.lv/ta/id/32424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771</Words>
  <Characters>6312</Characters>
  <Application>Microsoft Office Word</Application>
  <DocSecurity>0</DocSecurity>
  <Lines>52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Attiecināmās izmaksas un izmaksas apliecinošie dokumenti</vt:lpstr>
    </vt:vector>
  </TitlesOfParts>
  <Company>Hewlett-Packard Company</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vita.madjare</dc:creator>
  <cp:lastModifiedBy>Gints Kārkliņš</cp:lastModifiedBy>
  <cp:revision>4</cp:revision>
  <cp:lastPrinted>2014-09-29T10:05:00Z</cp:lastPrinted>
  <dcterms:created xsi:type="dcterms:W3CDTF">2025-09-13T19:47:00Z</dcterms:created>
  <dcterms:modified xsi:type="dcterms:W3CDTF">2025-09-23T06:32:00Z</dcterms:modified>
</cp:coreProperties>
</file>