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1F580" w14:textId="77777777" w:rsidR="00AB59BD" w:rsidRPr="00AB59BD" w:rsidRDefault="00AB59BD" w:rsidP="00AB59BD">
      <w:pPr>
        <w:jc w:val="center"/>
        <w:rPr>
          <w:b/>
        </w:rPr>
      </w:pPr>
      <w:r w:rsidRPr="00AB59BD">
        <w:rPr>
          <w:b/>
        </w:rPr>
        <w:t>Atbildes uz uzdotajiem jautājumiem par</w:t>
      </w:r>
    </w:p>
    <w:p w14:paraId="4BA41B06" w14:textId="77777777" w:rsidR="00AB59BD" w:rsidRPr="00AB59BD" w:rsidRDefault="00AB59BD" w:rsidP="00AB59BD">
      <w:pPr>
        <w:jc w:val="center"/>
        <w:rPr>
          <w:b/>
        </w:rPr>
      </w:pPr>
      <w:r w:rsidRPr="00AB59BD">
        <w:rPr>
          <w:b/>
        </w:rPr>
        <w:t>Emisijas kvotu izsolīšanas instrumenta finansēto projektu atklāta konkursu</w:t>
      </w:r>
    </w:p>
    <w:p w14:paraId="71AD81C1" w14:textId="10A886FC" w:rsidR="00AB59BD" w:rsidRPr="00AB59BD" w:rsidRDefault="00545726" w:rsidP="00AB59BD">
      <w:pPr>
        <w:jc w:val="center"/>
        <w:rPr>
          <w:b/>
        </w:rPr>
      </w:pPr>
      <w:r>
        <w:rPr>
          <w:b/>
        </w:rPr>
        <w:t>“</w:t>
      </w:r>
      <w:r w:rsidR="00987551" w:rsidRPr="00987551">
        <w:rPr>
          <w:b/>
        </w:rPr>
        <w:t>Siltumnīcefekta gāzu emisiju samazināšana, attīstot enerģētiski pašpietiekamu ēku būvniecību</w:t>
      </w:r>
      <w:r>
        <w:rPr>
          <w:b/>
        </w:rPr>
        <w:t>”</w:t>
      </w:r>
    </w:p>
    <w:p w14:paraId="2857BB61" w14:textId="77777777" w:rsidR="00AB59BD" w:rsidRPr="00B3390A" w:rsidRDefault="00AB59BD" w:rsidP="00AB59BD"/>
    <w:p w14:paraId="48BC523A" w14:textId="77777777" w:rsidR="00AB59BD" w:rsidRPr="00AB59BD" w:rsidRDefault="00AB59BD" w:rsidP="00AB59BD">
      <w:pPr>
        <w:rPr>
          <w:i/>
        </w:rPr>
      </w:pPr>
      <w:r w:rsidRPr="00AB59BD">
        <w:rPr>
          <w:i/>
        </w:rPr>
        <w:t xml:space="preserve">Lietotie saīsinājumi: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90"/>
        <w:gridCol w:w="12336"/>
      </w:tblGrid>
      <w:tr w:rsidR="00545726" w:rsidRPr="00545726" w14:paraId="04F706C8" w14:textId="77777777" w:rsidTr="00BA064C">
        <w:trPr>
          <w:trHeight w:val="56"/>
        </w:trPr>
        <w:tc>
          <w:tcPr>
            <w:tcW w:w="2290" w:type="dxa"/>
          </w:tcPr>
          <w:p w14:paraId="28773EB8" w14:textId="77777777" w:rsidR="00545726" w:rsidRPr="00545726" w:rsidRDefault="00545726" w:rsidP="00BA064C">
            <w:pPr>
              <w:rPr>
                <w:b/>
                <w:sz w:val="20"/>
                <w:szCs w:val="20"/>
              </w:rPr>
            </w:pPr>
            <w:r w:rsidRPr="00545726">
              <w:rPr>
                <w:b/>
                <w:sz w:val="20"/>
                <w:szCs w:val="20"/>
              </w:rPr>
              <w:t>CO</w:t>
            </w:r>
            <w:r w:rsidRPr="00545726">
              <w:rPr>
                <w:b/>
                <w:sz w:val="20"/>
                <w:szCs w:val="20"/>
                <w:vertAlign w:val="subscript"/>
              </w:rPr>
              <w:t>2</w:t>
            </w:r>
          </w:p>
        </w:tc>
        <w:tc>
          <w:tcPr>
            <w:tcW w:w="12336" w:type="dxa"/>
          </w:tcPr>
          <w:p w14:paraId="01ADD5FD" w14:textId="77777777" w:rsidR="00545726" w:rsidRPr="00545726" w:rsidRDefault="00545726" w:rsidP="00BA064C">
            <w:pPr>
              <w:rPr>
                <w:sz w:val="20"/>
                <w:szCs w:val="20"/>
              </w:rPr>
            </w:pPr>
            <w:r w:rsidRPr="00545726">
              <w:rPr>
                <w:sz w:val="20"/>
                <w:szCs w:val="20"/>
              </w:rPr>
              <w:t>Oglekļa dioksīds</w:t>
            </w:r>
          </w:p>
        </w:tc>
      </w:tr>
      <w:tr w:rsidR="00545726" w:rsidRPr="00545726" w14:paraId="72159615" w14:textId="77777777" w:rsidTr="00E71C6E">
        <w:tc>
          <w:tcPr>
            <w:tcW w:w="2290" w:type="dxa"/>
          </w:tcPr>
          <w:p w14:paraId="6C53C3A5" w14:textId="77777777" w:rsidR="00545726" w:rsidRPr="00545726" w:rsidRDefault="00545726" w:rsidP="00E71C6E">
            <w:pPr>
              <w:rPr>
                <w:b/>
                <w:sz w:val="20"/>
                <w:szCs w:val="20"/>
              </w:rPr>
            </w:pPr>
            <w:r w:rsidRPr="00545726">
              <w:rPr>
                <w:b/>
                <w:sz w:val="20"/>
                <w:szCs w:val="20"/>
              </w:rPr>
              <w:t>EKII</w:t>
            </w:r>
          </w:p>
        </w:tc>
        <w:tc>
          <w:tcPr>
            <w:tcW w:w="12336" w:type="dxa"/>
          </w:tcPr>
          <w:p w14:paraId="64858A40" w14:textId="77777777" w:rsidR="00545726" w:rsidRPr="00545726" w:rsidRDefault="00545726" w:rsidP="00E71C6E">
            <w:pPr>
              <w:rPr>
                <w:sz w:val="20"/>
                <w:szCs w:val="20"/>
              </w:rPr>
            </w:pPr>
            <w:r w:rsidRPr="00545726">
              <w:rPr>
                <w:sz w:val="20"/>
                <w:szCs w:val="20"/>
              </w:rPr>
              <w:t>Emisijas kvotu izsolīšanas instruments (turpmāk tekstā arī – finanšu instruments)</w:t>
            </w:r>
          </w:p>
        </w:tc>
      </w:tr>
      <w:tr w:rsidR="00545726" w:rsidRPr="00545726" w14:paraId="600F294A" w14:textId="77777777" w:rsidTr="00197BAA">
        <w:tc>
          <w:tcPr>
            <w:tcW w:w="2290" w:type="dxa"/>
          </w:tcPr>
          <w:p w14:paraId="4EA85DA0" w14:textId="54E483D7" w:rsidR="00545726" w:rsidRPr="00545726" w:rsidRDefault="00545726" w:rsidP="00197BAA">
            <w:pPr>
              <w:rPr>
                <w:b/>
                <w:sz w:val="20"/>
                <w:szCs w:val="20"/>
              </w:rPr>
            </w:pPr>
            <w:r>
              <w:rPr>
                <w:b/>
                <w:sz w:val="20"/>
                <w:szCs w:val="20"/>
              </w:rPr>
              <w:t>Fonds</w:t>
            </w:r>
          </w:p>
        </w:tc>
        <w:tc>
          <w:tcPr>
            <w:tcW w:w="12336" w:type="dxa"/>
          </w:tcPr>
          <w:p w14:paraId="2C1C9865" w14:textId="614F6AD2" w:rsidR="00545726" w:rsidRPr="00545726" w:rsidRDefault="00987551" w:rsidP="00197BAA">
            <w:pPr>
              <w:rPr>
                <w:sz w:val="20"/>
                <w:szCs w:val="20"/>
              </w:rPr>
            </w:pPr>
            <w:r>
              <w:rPr>
                <w:sz w:val="20"/>
                <w:szCs w:val="20"/>
              </w:rPr>
              <w:t>S</w:t>
            </w:r>
            <w:r w:rsidR="00545726" w:rsidRPr="00545726">
              <w:rPr>
                <w:sz w:val="20"/>
                <w:szCs w:val="20"/>
              </w:rPr>
              <w:t>abiedrība ar ierobežotu atbildību “Vides investīciju fonds”</w:t>
            </w:r>
          </w:p>
        </w:tc>
      </w:tr>
      <w:tr w:rsidR="00AB59BD" w:rsidRPr="00545726" w14:paraId="35574A43" w14:textId="77777777" w:rsidTr="00AB59BD">
        <w:tc>
          <w:tcPr>
            <w:tcW w:w="2290" w:type="dxa"/>
          </w:tcPr>
          <w:p w14:paraId="39F00157" w14:textId="77777777" w:rsidR="00AB59BD" w:rsidRPr="00545726" w:rsidRDefault="00AB59BD" w:rsidP="00F87C4A">
            <w:pPr>
              <w:rPr>
                <w:b/>
                <w:sz w:val="20"/>
                <w:szCs w:val="20"/>
              </w:rPr>
            </w:pPr>
            <w:r w:rsidRPr="00545726">
              <w:rPr>
                <w:b/>
                <w:sz w:val="20"/>
                <w:szCs w:val="20"/>
              </w:rPr>
              <w:t>MK</w:t>
            </w:r>
          </w:p>
        </w:tc>
        <w:tc>
          <w:tcPr>
            <w:tcW w:w="12336" w:type="dxa"/>
          </w:tcPr>
          <w:p w14:paraId="47702C10" w14:textId="77777777" w:rsidR="00AB59BD" w:rsidRPr="00545726" w:rsidRDefault="00AB59BD" w:rsidP="00F87C4A">
            <w:pPr>
              <w:rPr>
                <w:sz w:val="20"/>
                <w:szCs w:val="20"/>
              </w:rPr>
            </w:pPr>
            <w:r w:rsidRPr="00545726">
              <w:rPr>
                <w:sz w:val="20"/>
                <w:szCs w:val="20"/>
              </w:rPr>
              <w:t>Ministru kabinets</w:t>
            </w:r>
          </w:p>
        </w:tc>
      </w:tr>
      <w:tr w:rsidR="00AB59BD" w:rsidRPr="00545726" w14:paraId="0941F568" w14:textId="77777777" w:rsidTr="00AB59BD">
        <w:tc>
          <w:tcPr>
            <w:tcW w:w="2290" w:type="dxa"/>
          </w:tcPr>
          <w:p w14:paraId="70C8CE1E" w14:textId="464231EB" w:rsidR="00AB59BD" w:rsidRPr="00545726" w:rsidRDefault="00AB59BD" w:rsidP="00987551">
            <w:pPr>
              <w:rPr>
                <w:b/>
                <w:sz w:val="20"/>
                <w:szCs w:val="20"/>
              </w:rPr>
            </w:pPr>
            <w:bookmarkStart w:id="0" w:name="OLE_LINK1"/>
            <w:bookmarkStart w:id="1" w:name="OLE_LINK2"/>
            <w:r w:rsidRPr="00545726">
              <w:rPr>
                <w:b/>
                <w:sz w:val="20"/>
                <w:szCs w:val="20"/>
              </w:rPr>
              <w:t>MK noteikumi Nr.</w:t>
            </w:r>
            <w:r w:rsidR="00266A78">
              <w:rPr>
                <w:b/>
                <w:sz w:val="20"/>
                <w:szCs w:val="20"/>
              </w:rPr>
              <w:t xml:space="preserve"> </w:t>
            </w:r>
            <w:r w:rsidR="00987551">
              <w:rPr>
                <w:b/>
                <w:sz w:val="20"/>
                <w:szCs w:val="20"/>
              </w:rPr>
              <w:t>418</w:t>
            </w:r>
            <w:bookmarkEnd w:id="0"/>
            <w:bookmarkEnd w:id="1"/>
          </w:p>
        </w:tc>
        <w:tc>
          <w:tcPr>
            <w:tcW w:w="12336" w:type="dxa"/>
          </w:tcPr>
          <w:p w14:paraId="629856AC" w14:textId="7BA20E99" w:rsidR="00AB59BD" w:rsidRPr="00545726" w:rsidRDefault="00AB59BD" w:rsidP="00987551">
            <w:pPr>
              <w:rPr>
                <w:sz w:val="20"/>
                <w:szCs w:val="20"/>
              </w:rPr>
            </w:pPr>
            <w:r w:rsidRPr="00545726">
              <w:rPr>
                <w:sz w:val="20"/>
                <w:szCs w:val="20"/>
              </w:rPr>
              <w:t>Ministru kabineta 201</w:t>
            </w:r>
            <w:r w:rsidR="00545726" w:rsidRPr="00545726">
              <w:rPr>
                <w:sz w:val="20"/>
                <w:szCs w:val="20"/>
              </w:rPr>
              <w:t>8</w:t>
            </w:r>
            <w:r w:rsidRPr="00545726">
              <w:rPr>
                <w:sz w:val="20"/>
                <w:szCs w:val="20"/>
              </w:rPr>
              <w:t>.</w:t>
            </w:r>
            <w:r w:rsidR="00545726" w:rsidRPr="00545726">
              <w:rPr>
                <w:sz w:val="20"/>
                <w:szCs w:val="20"/>
              </w:rPr>
              <w:t xml:space="preserve"> </w:t>
            </w:r>
            <w:r w:rsidRPr="00545726">
              <w:rPr>
                <w:sz w:val="20"/>
                <w:szCs w:val="20"/>
              </w:rPr>
              <w:t xml:space="preserve">gada </w:t>
            </w:r>
            <w:r w:rsidR="00545726" w:rsidRPr="00545726">
              <w:rPr>
                <w:sz w:val="20"/>
                <w:szCs w:val="20"/>
              </w:rPr>
              <w:t>1</w:t>
            </w:r>
            <w:r w:rsidR="00987551">
              <w:rPr>
                <w:sz w:val="20"/>
                <w:szCs w:val="20"/>
              </w:rPr>
              <w:t>7</w:t>
            </w:r>
            <w:r w:rsidRPr="00545726">
              <w:rPr>
                <w:sz w:val="20"/>
                <w:szCs w:val="20"/>
              </w:rPr>
              <w:t>.</w:t>
            </w:r>
            <w:r w:rsidR="00545726" w:rsidRPr="00545726">
              <w:rPr>
                <w:sz w:val="20"/>
                <w:szCs w:val="20"/>
              </w:rPr>
              <w:t xml:space="preserve"> jū</w:t>
            </w:r>
            <w:r w:rsidR="00987551">
              <w:rPr>
                <w:sz w:val="20"/>
                <w:szCs w:val="20"/>
              </w:rPr>
              <w:t>l</w:t>
            </w:r>
            <w:r w:rsidR="00545726" w:rsidRPr="00545726">
              <w:rPr>
                <w:sz w:val="20"/>
                <w:szCs w:val="20"/>
              </w:rPr>
              <w:t>i</w:t>
            </w:r>
            <w:r w:rsidRPr="00545726">
              <w:rPr>
                <w:sz w:val="20"/>
                <w:szCs w:val="20"/>
              </w:rPr>
              <w:t>j</w:t>
            </w:r>
            <w:r w:rsidR="00545726" w:rsidRPr="00545726">
              <w:rPr>
                <w:sz w:val="20"/>
                <w:szCs w:val="20"/>
              </w:rPr>
              <w:t>a</w:t>
            </w:r>
            <w:r w:rsidRPr="00545726">
              <w:rPr>
                <w:sz w:val="20"/>
                <w:szCs w:val="20"/>
              </w:rPr>
              <w:t xml:space="preserve"> noteikumi Nr.</w:t>
            </w:r>
            <w:r w:rsidR="00545726" w:rsidRPr="00545726">
              <w:rPr>
                <w:sz w:val="20"/>
                <w:szCs w:val="20"/>
              </w:rPr>
              <w:t xml:space="preserve"> </w:t>
            </w:r>
            <w:r w:rsidR="00987551">
              <w:rPr>
                <w:sz w:val="20"/>
                <w:szCs w:val="20"/>
              </w:rPr>
              <w:t>418</w:t>
            </w:r>
            <w:r w:rsidRPr="00545726">
              <w:rPr>
                <w:sz w:val="20"/>
                <w:szCs w:val="20"/>
              </w:rPr>
              <w:t xml:space="preserve"> </w:t>
            </w:r>
            <w:r w:rsidR="00545726" w:rsidRPr="00545726">
              <w:rPr>
                <w:sz w:val="20"/>
                <w:szCs w:val="20"/>
              </w:rPr>
              <w:t>“</w:t>
            </w:r>
            <w:r w:rsidR="00987551" w:rsidRPr="00987551">
              <w:rPr>
                <w:sz w:val="20"/>
                <w:szCs w:val="20"/>
              </w:rPr>
              <w:t xml:space="preserve">Emisijas kvotu izsolīšanas instrumenta finansēto projektu atklāta konkursa </w:t>
            </w:r>
            <w:r w:rsidR="00987551">
              <w:rPr>
                <w:sz w:val="20"/>
                <w:szCs w:val="20"/>
              </w:rPr>
              <w:t>“</w:t>
            </w:r>
            <w:r w:rsidR="00987551" w:rsidRPr="00987551">
              <w:rPr>
                <w:sz w:val="20"/>
                <w:szCs w:val="20"/>
              </w:rPr>
              <w:t>Siltumnīcefekta gāzu emisiju samazināšana, attīstot enerģētiski pašpietiekamu ēku būvniecību</w:t>
            </w:r>
            <w:r w:rsidR="00987551">
              <w:rPr>
                <w:sz w:val="20"/>
                <w:szCs w:val="20"/>
              </w:rPr>
              <w:t>”</w:t>
            </w:r>
            <w:r w:rsidR="00987551" w:rsidRPr="00987551">
              <w:rPr>
                <w:sz w:val="20"/>
                <w:szCs w:val="20"/>
              </w:rPr>
              <w:t xml:space="preserve"> nolikums</w:t>
            </w:r>
            <w:r w:rsidRPr="00545726">
              <w:rPr>
                <w:sz w:val="20"/>
                <w:szCs w:val="20"/>
              </w:rPr>
              <w:t>”</w:t>
            </w:r>
            <w:r w:rsidR="00545726">
              <w:rPr>
                <w:sz w:val="20"/>
                <w:szCs w:val="20"/>
              </w:rPr>
              <w:t xml:space="preserve"> (</w:t>
            </w:r>
            <w:hyperlink r:id="rId9" w:history="1">
              <w:r w:rsidR="00987551" w:rsidRPr="00F777A9">
                <w:rPr>
                  <w:rStyle w:val="Hyperlink"/>
                  <w:sz w:val="20"/>
                  <w:szCs w:val="20"/>
                </w:rPr>
                <w:t>https://likumi.lv/ta/id/300500</w:t>
              </w:r>
            </w:hyperlink>
            <w:r w:rsidR="00545726">
              <w:rPr>
                <w:sz w:val="20"/>
                <w:szCs w:val="20"/>
              </w:rPr>
              <w:t>)</w:t>
            </w:r>
          </w:p>
        </w:tc>
      </w:tr>
      <w:tr w:rsidR="00545726" w:rsidRPr="00545726" w14:paraId="56520D76" w14:textId="77777777" w:rsidTr="0043255E">
        <w:trPr>
          <w:trHeight w:val="56"/>
        </w:trPr>
        <w:tc>
          <w:tcPr>
            <w:tcW w:w="2290" w:type="dxa"/>
          </w:tcPr>
          <w:p w14:paraId="14334D7E" w14:textId="77777777" w:rsidR="00545726" w:rsidRPr="00545726" w:rsidRDefault="00545726" w:rsidP="0043255E">
            <w:pPr>
              <w:rPr>
                <w:b/>
                <w:sz w:val="20"/>
                <w:szCs w:val="20"/>
              </w:rPr>
            </w:pPr>
            <w:r w:rsidRPr="00545726">
              <w:rPr>
                <w:b/>
                <w:sz w:val="20"/>
                <w:szCs w:val="20"/>
              </w:rPr>
              <w:t>N/A</w:t>
            </w:r>
          </w:p>
        </w:tc>
        <w:tc>
          <w:tcPr>
            <w:tcW w:w="12336" w:type="dxa"/>
          </w:tcPr>
          <w:p w14:paraId="0F30985E" w14:textId="77777777" w:rsidR="00545726" w:rsidRPr="00545726" w:rsidRDefault="00545726" w:rsidP="0043255E">
            <w:pPr>
              <w:rPr>
                <w:sz w:val="20"/>
                <w:szCs w:val="20"/>
              </w:rPr>
            </w:pPr>
            <w:r w:rsidRPr="00545726">
              <w:rPr>
                <w:sz w:val="20"/>
                <w:szCs w:val="20"/>
              </w:rPr>
              <w:t>Nav attiecināms</w:t>
            </w:r>
          </w:p>
        </w:tc>
      </w:tr>
      <w:tr w:rsidR="00545726" w:rsidRPr="00545726" w14:paraId="5F6CCC94" w14:textId="77777777" w:rsidTr="00A42AC4">
        <w:tc>
          <w:tcPr>
            <w:tcW w:w="2290" w:type="dxa"/>
          </w:tcPr>
          <w:p w14:paraId="5204C98C" w14:textId="77777777" w:rsidR="00545726" w:rsidRPr="00545726" w:rsidRDefault="00545726" w:rsidP="00A42AC4">
            <w:pPr>
              <w:rPr>
                <w:b/>
                <w:sz w:val="20"/>
                <w:szCs w:val="20"/>
              </w:rPr>
            </w:pPr>
            <w:r w:rsidRPr="00545726">
              <w:rPr>
                <w:b/>
                <w:sz w:val="20"/>
                <w:szCs w:val="20"/>
              </w:rPr>
              <w:t>VARAM</w:t>
            </w:r>
          </w:p>
        </w:tc>
        <w:tc>
          <w:tcPr>
            <w:tcW w:w="12336" w:type="dxa"/>
          </w:tcPr>
          <w:p w14:paraId="1CB4CEC3" w14:textId="77777777" w:rsidR="00545726" w:rsidRPr="00545726" w:rsidRDefault="00545726" w:rsidP="00A42AC4">
            <w:pPr>
              <w:rPr>
                <w:sz w:val="20"/>
                <w:szCs w:val="20"/>
              </w:rPr>
            </w:pPr>
            <w:r w:rsidRPr="00545726">
              <w:rPr>
                <w:sz w:val="20"/>
                <w:szCs w:val="20"/>
              </w:rPr>
              <w:t>Vides aizsardzības un reģionālās attīstības ministrija</w:t>
            </w:r>
          </w:p>
        </w:tc>
      </w:tr>
    </w:tbl>
    <w:p w14:paraId="334F1388" w14:textId="77777777" w:rsidR="00AB59BD" w:rsidRPr="00B3390A" w:rsidRDefault="00AB59BD" w:rsidP="00AB59BD"/>
    <w:tbl>
      <w:tblPr>
        <w:tblStyle w:val="TableGrid"/>
        <w:tblW w:w="5000" w:type="pct"/>
        <w:tblLayout w:type="fixed"/>
        <w:tblCellMar>
          <w:left w:w="28" w:type="dxa"/>
          <w:right w:w="28" w:type="dxa"/>
        </w:tblCellMar>
        <w:tblLook w:val="04A0" w:firstRow="1" w:lastRow="0" w:firstColumn="1" w:lastColumn="0" w:noHBand="0" w:noVBand="1"/>
      </w:tblPr>
      <w:tblGrid>
        <w:gridCol w:w="645"/>
        <w:gridCol w:w="6754"/>
        <w:gridCol w:w="7227"/>
      </w:tblGrid>
      <w:tr w:rsidR="00AB59BD" w:rsidRPr="00AB59BD" w14:paraId="7DE983CE" w14:textId="77777777" w:rsidTr="00F6138F">
        <w:trPr>
          <w:cantSplit/>
          <w:tblHeader/>
        </w:trPr>
        <w:tc>
          <w:tcPr>
            <w:tcW w:w="645" w:type="dxa"/>
            <w:shd w:val="clear" w:color="auto" w:fill="C2D69B" w:themeFill="accent3" w:themeFillTint="99"/>
            <w:vAlign w:val="center"/>
          </w:tcPr>
          <w:p w14:paraId="7BAD185A" w14:textId="77777777" w:rsidR="00AB59BD" w:rsidRPr="00AB59BD" w:rsidRDefault="00AB59BD" w:rsidP="00AB59BD">
            <w:pPr>
              <w:jc w:val="center"/>
              <w:rPr>
                <w:b/>
              </w:rPr>
            </w:pPr>
            <w:r w:rsidRPr="00AB59BD">
              <w:rPr>
                <w:b/>
              </w:rPr>
              <w:t>Nr.p.k.</w:t>
            </w:r>
          </w:p>
        </w:tc>
        <w:tc>
          <w:tcPr>
            <w:tcW w:w="6754" w:type="dxa"/>
            <w:shd w:val="clear" w:color="auto" w:fill="C2D69B" w:themeFill="accent3" w:themeFillTint="99"/>
            <w:vAlign w:val="center"/>
          </w:tcPr>
          <w:p w14:paraId="3A8C2DA1" w14:textId="77777777" w:rsidR="00AB59BD" w:rsidRPr="00AB59BD" w:rsidRDefault="00AB59BD" w:rsidP="00F87C4A">
            <w:pPr>
              <w:rPr>
                <w:b/>
              </w:rPr>
            </w:pPr>
            <w:r w:rsidRPr="00AB59BD">
              <w:rPr>
                <w:b/>
              </w:rPr>
              <w:t>Jautājums</w:t>
            </w:r>
          </w:p>
        </w:tc>
        <w:tc>
          <w:tcPr>
            <w:tcW w:w="7227" w:type="dxa"/>
            <w:shd w:val="clear" w:color="auto" w:fill="C2D69B" w:themeFill="accent3" w:themeFillTint="99"/>
            <w:vAlign w:val="center"/>
          </w:tcPr>
          <w:p w14:paraId="2EBF59EC" w14:textId="77777777" w:rsidR="00AB59BD" w:rsidRPr="00AB59BD" w:rsidRDefault="00AB59BD" w:rsidP="00F87C4A">
            <w:pPr>
              <w:rPr>
                <w:b/>
              </w:rPr>
            </w:pPr>
            <w:r w:rsidRPr="00AB59BD">
              <w:rPr>
                <w:b/>
              </w:rPr>
              <w:t>Atbilde</w:t>
            </w:r>
          </w:p>
        </w:tc>
      </w:tr>
      <w:tr w:rsidR="00AB59BD" w:rsidRPr="00C20964" w14:paraId="5914A9C3" w14:textId="77777777" w:rsidTr="00F6138F">
        <w:trPr>
          <w:cantSplit/>
        </w:trPr>
        <w:tc>
          <w:tcPr>
            <w:tcW w:w="645" w:type="dxa"/>
          </w:tcPr>
          <w:p w14:paraId="02726436" w14:textId="77777777" w:rsidR="00AB59BD" w:rsidRPr="00493C28" w:rsidRDefault="00AB59BD" w:rsidP="00AB59BD">
            <w:pPr>
              <w:jc w:val="center"/>
            </w:pPr>
            <w:r w:rsidRPr="00493C28">
              <w:t>1.</w:t>
            </w:r>
          </w:p>
        </w:tc>
        <w:tc>
          <w:tcPr>
            <w:tcW w:w="6754" w:type="dxa"/>
          </w:tcPr>
          <w:p w14:paraId="6E334A81" w14:textId="0E013528" w:rsidR="00AB59BD" w:rsidRPr="00493C28" w:rsidRDefault="0055794C" w:rsidP="00C57B81">
            <w:pPr>
              <w:jc w:val="both"/>
            </w:pPr>
            <w:r w:rsidRPr="0055794C">
              <w:t xml:space="preserve">Vai arī var iesniegt projektus par mazāku summu piemēram, 1 miljons, vai 800 tūkstoši </w:t>
            </w:r>
            <w:r w:rsidRPr="0031659A">
              <w:rPr>
                <w:i/>
              </w:rPr>
              <w:t>euro</w:t>
            </w:r>
            <w:r w:rsidRPr="0055794C">
              <w:t>?</w:t>
            </w:r>
          </w:p>
        </w:tc>
        <w:tc>
          <w:tcPr>
            <w:tcW w:w="7227" w:type="dxa"/>
          </w:tcPr>
          <w:p w14:paraId="40BE216A" w14:textId="5F8C4FDB" w:rsidR="001816DE" w:rsidRPr="00493C28" w:rsidRDefault="0055794C" w:rsidP="001816DE">
            <w:pPr>
              <w:jc w:val="both"/>
              <w:rPr>
                <w:rFonts w:eastAsiaTheme="minorHAnsi"/>
              </w:rPr>
            </w:pPr>
            <w:r w:rsidRPr="0055794C">
              <w:rPr>
                <w:rFonts w:eastAsiaTheme="minorHAnsi"/>
              </w:rPr>
              <w:t xml:space="preserve">Konkursa ietvaros vienam projektam pieejamais finanšu instrumenta finansējums ir no 2 000 000 </w:t>
            </w:r>
            <w:r w:rsidR="00C354B4" w:rsidRPr="0055794C">
              <w:rPr>
                <w:rFonts w:eastAsiaTheme="minorHAnsi"/>
                <w:i/>
              </w:rPr>
              <w:t>euro</w:t>
            </w:r>
            <w:r w:rsidR="00C354B4" w:rsidRPr="0055794C">
              <w:rPr>
                <w:rFonts w:eastAsiaTheme="minorHAnsi"/>
              </w:rPr>
              <w:t xml:space="preserve"> </w:t>
            </w:r>
            <w:r w:rsidR="00C354B4">
              <w:rPr>
                <w:rFonts w:eastAsiaTheme="minorHAnsi"/>
              </w:rPr>
              <w:t xml:space="preserve"> </w:t>
            </w:r>
            <w:r w:rsidRPr="0055794C">
              <w:rPr>
                <w:rFonts w:eastAsiaTheme="minorHAnsi"/>
              </w:rPr>
              <w:t xml:space="preserve">līdz 5 000 000 </w:t>
            </w:r>
            <w:r w:rsidRPr="0055794C">
              <w:rPr>
                <w:rFonts w:eastAsiaTheme="minorHAnsi"/>
                <w:i/>
              </w:rPr>
              <w:t>euro</w:t>
            </w:r>
            <w:r>
              <w:rPr>
                <w:rFonts w:eastAsiaTheme="minorHAnsi"/>
              </w:rPr>
              <w:t xml:space="preserve">. Projektu iesniegumus, kas neatbildīs minētajai prasībai, </w:t>
            </w:r>
            <w:r w:rsidR="001816DE">
              <w:rPr>
                <w:rFonts w:eastAsiaTheme="minorHAnsi"/>
              </w:rPr>
              <w:t xml:space="preserve">projektu iesniegumu </w:t>
            </w:r>
            <w:r>
              <w:rPr>
                <w:rFonts w:eastAsiaTheme="minorHAnsi"/>
              </w:rPr>
              <w:t>vērtēšanas laikā lūgs precizēt</w:t>
            </w:r>
            <w:r w:rsidR="001816DE">
              <w:rPr>
                <w:rFonts w:eastAsiaTheme="minorHAnsi"/>
              </w:rPr>
              <w:t>.</w:t>
            </w:r>
            <w:r>
              <w:rPr>
                <w:rFonts w:eastAsiaTheme="minorHAnsi"/>
              </w:rPr>
              <w:t xml:space="preserve"> </w:t>
            </w:r>
            <w:r w:rsidR="001816DE">
              <w:rPr>
                <w:rFonts w:eastAsiaTheme="minorHAnsi"/>
              </w:rPr>
              <w:t>J</w:t>
            </w:r>
            <w:r>
              <w:rPr>
                <w:rFonts w:eastAsiaTheme="minorHAnsi"/>
              </w:rPr>
              <w:t xml:space="preserve">a pēc </w:t>
            </w:r>
            <w:r w:rsidR="001816DE">
              <w:rPr>
                <w:rFonts w:eastAsiaTheme="minorHAnsi"/>
              </w:rPr>
              <w:t xml:space="preserve">projekta iesnieguma </w:t>
            </w:r>
            <w:r>
              <w:rPr>
                <w:rFonts w:eastAsiaTheme="minorHAnsi"/>
              </w:rPr>
              <w:t>precizēšanas</w:t>
            </w:r>
            <w:r w:rsidR="001816DE">
              <w:rPr>
                <w:rFonts w:eastAsiaTheme="minorHAnsi"/>
              </w:rPr>
              <w:t xml:space="preserve"> tas atkārtoti</w:t>
            </w:r>
            <w:r>
              <w:rPr>
                <w:rFonts w:eastAsiaTheme="minorHAnsi"/>
              </w:rPr>
              <w:t xml:space="preserve"> neatbildīs </w:t>
            </w:r>
            <w:bookmarkStart w:id="2" w:name="OLE_LINK3"/>
            <w:bookmarkStart w:id="3" w:name="OLE_LINK4"/>
            <w:r w:rsidRPr="0055794C">
              <w:rPr>
                <w:rFonts w:eastAsiaTheme="minorHAnsi"/>
              </w:rPr>
              <w:t>MK noteikum</w:t>
            </w:r>
            <w:r>
              <w:rPr>
                <w:rFonts w:eastAsiaTheme="minorHAnsi"/>
              </w:rPr>
              <w:t>u</w:t>
            </w:r>
            <w:r w:rsidRPr="0055794C">
              <w:rPr>
                <w:rFonts w:eastAsiaTheme="minorHAnsi"/>
              </w:rPr>
              <w:t xml:space="preserve"> Nr. 418</w:t>
            </w:r>
            <w:r>
              <w:rPr>
                <w:rFonts w:eastAsiaTheme="minorHAnsi"/>
              </w:rPr>
              <w:t xml:space="preserve"> 17. punkta </w:t>
            </w:r>
            <w:bookmarkEnd w:id="2"/>
            <w:bookmarkEnd w:id="3"/>
            <w:r>
              <w:rPr>
                <w:rFonts w:eastAsiaTheme="minorHAnsi"/>
              </w:rPr>
              <w:t>prasībām, tad tādi projekta iesniegumi tiks noraidīti.</w:t>
            </w:r>
            <w:r w:rsidR="0031659A">
              <w:rPr>
                <w:rFonts w:eastAsiaTheme="minorHAnsi"/>
              </w:rPr>
              <w:t xml:space="preserve"> </w:t>
            </w:r>
          </w:p>
        </w:tc>
      </w:tr>
      <w:tr w:rsidR="00C8033A" w:rsidRPr="00C20964" w14:paraId="33729573" w14:textId="77777777" w:rsidTr="00F6138F">
        <w:trPr>
          <w:cantSplit/>
        </w:trPr>
        <w:tc>
          <w:tcPr>
            <w:tcW w:w="645" w:type="dxa"/>
          </w:tcPr>
          <w:p w14:paraId="0A6AA8DB" w14:textId="4DDC3233" w:rsidR="00C8033A" w:rsidRPr="00493C28" w:rsidRDefault="00C8033A" w:rsidP="00AB59BD">
            <w:pPr>
              <w:jc w:val="center"/>
            </w:pPr>
            <w:bookmarkStart w:id="4" w:name="_Hlk519760455"/>
            <w:r w:rsidRPr="00493C28">
              <w:t>2.</w:t>
            </w:r>
          </w:p>
        </w:tc>
        <w:tc>
          <w:tcPr>
            <w:tcW w:w="6754" w:type="dxa"/>
          </w:tcPr>
          <w:p w14:paraId="38DC9DD2" w14:textId="50E84F5E" w:rsidR="00C8033A" w:rsidRPr="00493C28" w:rsidRDefault="00334834" w:rsidP="00334834">
            <w:pPr>
              <w:autoSpaceDE w:val="0"/>
              <w:autoSpaceDN w:val="0"/>
              <w:jc w:val="both"/>
            </w:pPr>
            <w:r w:rsidRPr="00334834">
              <w:t xml:space="preserve">Ko nozīmē koeficients 1.5% </w:t>
            </w:r>
            <w:r>
              <w:t>kvalitātes vērtēšanas 7. kritērijā (</w:t>
            </w:r>
            <w:r w:rsidRPr="00334834">
              <w:t>Vairāk nekā 80 % no ēkas izmantojamās platības paredzēts nodrošināt vidējo dienasgaismas koeficientu 1,5 % uz ārpagalmu vērstām fasādēm un 0,7 %</w:t>
            </w:r>
            <w:r>
              <w:t xml:space="preserve"> uz iekšpagalmu vērstām fasādēm) </w:t>
            </w:r>
            <w:r w:rsidRPr="00334834">
              <w:t>un, kā šis koeficients tiek aprēķināts?</w:t>
            </w:r>
          </w:p>
        </w:tc>
        <w:tc>
          <w:tcPr>
            <w:tcW w:w="7227" w:type="dxa"/>
          </w:tcPr>
          <w:p w14:paraId="029F46FA" w14:textId="5A96766E" w:rsidR="00C8033A" w:rsidRPr="00493C28" w:rsidRDefault="005A708C" w:rsidP="00B473EC">
            <w:pPr>
              <w:jc w:val="both"/>
            </w:pPr>
            <w:r>
              <w:t xml:space="preserve">Dienasgaismas koeficients (angliski </w:t>
            </w:r>
            <w:r w:rsidRPr="005A708C">
              <w:rPr>
                <w:i/>
              </w:rPr>
              <w:t>daylight factor</w:t>
            </w:r>
            <w:r>
              <w:t xml:space="preserve">) </w:t>
            </w:r>
            <w:r w:rsidRPr="005A708C">
              <w:t xml:space="preserve">ir gaismas līmeņa attiecība starp gaismas līmeni </w:t>
            </w:r>
            <w:r>
              <w:t xml:space="preserve">iekšā </w:t>
            </w:r>
            <w:r w:rsidRPr="005A708C">
              <w:t xml:space="preserve">un ārpus </w:t>
            </w:r>
            <w:r>
              <w:t xml:space="preserve">ēkas </w:t>
            </w:r>
            <w:r w:rsidRPr="005A708C">
              <w:t>konstrukcijas</w:t>
            </w:r>
            <w:r>
              <w:t xml:space="preserve">. Lai aprēķinātu minēto koeficientu </w:t>
            </w:r>
            <w:r w:rsidR="00B473EC">
              <w:t xml:space="preserve">ēkas projektēšanas un plānošanas laikā, izmantojot attiecīgas aprēķina datorprogrammas, </w:t>
            </w:r>
            <w:r>
              <w:t xml:space="preserve">ir jāveic </w:t>
            </w:r>
            <w:r w:rsidR="00B473EC">
              <w:t>specifiski</w:t>
            </w:r>
            <w:r>
              <w:t xml:space="preserve"> </w:t>
            </w:r>
            <w:r w:rsidR="00B473EC">
              <w:t xml:space="preserve">dienasgaismas koeficienta </w:t>
            </w:r>
            <w:r>
              <w:t>aprēķini</w:t>
            </w:r>
            <w:r w:rsidR="00B473EC">
              <w:t>, ņemot vērā ēkas izvietojumu pret debespusēm, ēkas konstrukciju, apgaismojumu u.c. parametrus.</w:t>
            </w:r>
          </w:p>
        </w:tc>
      </w:tr>
      <w:tr w:rsidR="00757B01" w:rsidRPr="00ED2C36" w14:paraId="40E8DC50" w14:textId="77777777" w:rsidTr="00B438DD">
        <w:trPr>
          <w:cantSplit/>
        </w:trPr>
        <w:tc>
          <w:tcPr>
            <w:tcW w:w="645" w:type="dxa"/>
          </w:tcPr>
          <w:p w14:paraId="2CD14109" w14:textId="62251A5E" w:rsidR="00757B01" w:rsidRPr="00ED2C36" w:rsidRDefault="00757B01" w:rsidP="00FE33AB">
            <w:pPr>
              <w:jc w:val="center"/>
            </w:pPr>
            <w:r>
              <w:lastRenderedPageBreak/>
              <w:t>3</w:t>
            </w:r>
            <w:r w:rsidRPr="00ED2C36">
              <w:t>.</w:t>
            </w:r>
          </w:p>
        </w:tc>
        <w:tc>
          <w:tcPr>
            <w:tcW w:w="6754" w:type="dxa"/>
          </w:tcPr>
          <w:p w14:paraId="72B8BC06" w14:textId="0D5C92AD" w:rsidR="00757B01" w:rsidRPr="00ED2C36" w:rsidRDefault="00757B01" w:rsidP="00FE33AB">
            <w:pPr>
              <w:autoSpaceDE w:val="0"/>
              <w:autoSpaceDN w:val="0"/>
              <w:jc w:val="both"/>
            </w:pPr>
            <w:r w:rsidRPr="00ED2C36">
              <w:t xml:space="preserve">Saskaņā ar MK not. </w:t>
            </w:r>
            <w:r>
              <w:t>58</w:t>
            </w:r>
            <w:r w:rsidRPr="00ED2C36">
              <w:t>.</w:t>
            </w:r>
            <w:r>
              <w:t>1</w:t>
            </w:r>
            <w:r w:rsidRPr="00ED2C36">
              <w:t>.</w:t>
            </w:r>
            <w:r>
              <w:t>,</w:t>
            </w:r>
            <w:r w:rsidRPr="00ED2C36">
              <w:t xml:space="preserve"> </w:t>
            </w:r>
            <w:r>
              <w:t>58.2</w:t>
            </w:r>
            <w:r w:rsidRPr="00ED2C36">
              <w:t>.</w:t>
            </w:r>
            <w:r>
              <w:t>,</w:t>
            </w:r>
            <w:r w:rsidRPr="00ED2C36">
              <w:t xml:space="preserve"> </w:t>
            </w:r>
            <w:r>
              <w:t xml:space="preserve">58.3. </w:t>
            </w:r>
            <w:r w:rsidRPr="00ED2C36">
              <w:t xml:space="preserve">un </w:t>
            </w:r>
            <w:r>
              <w:t>59</w:t>
            </w:r>
            <w:r w:rsidRPr="00ED2C36">
              <w:t>.</w:t>
            </w:r>
            <w:r>
              <w:t>2</w:t>
            </w:r>
            <w:r w:rsidRPr="00ED2C36">
              <w:t xml:space="preserve">. punktiem ir jānoorganizē kopā vismaz </w:t>
            </w:r>
            <w:r>
              <w:t>7</w:t>
            </w:r>
            <w:r w:rsidRPr="00ED2C36">
              <w:t xml:space="preserve"> pasākumi, kas informē sabiedrību. Tās ir obligātās publicitātes un demonstrēšanas prasības, ko iespējams iekļaut projekta attiecināmajās izmaksās. </w:t>
            </w:r>
          </w:p>
          <w:p w14:paraId="34123681" w14:textId="19454860" w:rsidR="00757B01" w:rsidRPr="00ED2C36" w:rsidRDefault="00757B01" w:rsidP="00FE33AB">
            <w:pPr>
              <w:autoSpaceDE w:val="0"/>
              <w:autoSpaceDN w:val="0"/>
              <w:jc w:val="both"/>
            </w:pPr>
            <w:r w:rsidRPr="00ED2C36">
              <w:t xml:space="preserve">Savukārt, lai kvalitātes </w:t>
            </w:r>
            <w:r>
              <w:t>14</w:t>
            </w:r>
            <w:r w:rsidRPr="00ED2C36">
              <w:t xml:space="preserve">. </w:t>
            </w:r>
            <w:r>
              <w:t>kritērijā</w:t>
            </w:r>
            <w:r w:rsidRPr="00ED2C36">
              <w:t xml:space="preserve"> saņemtu maksimālo punktu skaitu ir jābūt vismaz 3 valsts mēroga un 3 vietējā mēroga pasākumiem, kas finansēti no pašu resursiem. </w:t>
            </w:r>
          </w:p>
          <w:p w14:paraId="39C1C429" w14:textId="10CDCDDD" w:rsidR="00757B01" w:rsidRPr="00ED2C36" w:rsidRDefault="00757B01" w:rsidP="005226CE">
            <w:pPr>
              <w:autoSpaceDE w:val="0"/>
              <w:autoSpaceDN w:val="0"/>
              <w:jc w:val="both"/>
            </w:pPr>
            <w:r w:rsidRPr="00ED2C36">
              <w:t xml:space="preserve">Jautājums - vai tiks piešķirts maksimālais punktu skaits </w:t>
            </w:r>
            <w:r>
              <w:t>14</w:t>
            </w:r>
            <w:r w:rsidRPr="00ED2C36">
              <w:t>. kritērijā, ja tiks plānotas obligātās publicitātes prasības (</w:t>
            </w:r>
            <w:r w:rsidR="005226CE">
              <w:t>58</w:t>
            </w:r>
            <w:r w:rsidR="005226CE" w:rsidRPr="00ED2C36">
              <w:t>.</w:t>
            </w:r>
            <w:r w:rsidR="005226CE">
              <w:t>1</w:t>
            </w:r>
            <w:r w:rsidR="005226CE" w:rsidRPr="00ED2C36">
              <w:t>.</w:t>
            </w:r>
            <w:r w:rsidR="005226CE">
              <w:t>,</w:t>
            </w:r>
            <w:r w:rsidR="005226CE" w:rsidRPr="00ED2C36">
              <w:t xml:space="preserve"> </w:t>
            </w:r>
            <w:r w:rsidR="005226CE">
              <w:t>58.2</w:t>
            </w:r>
            <w:r w:rsidR="005226CE" w:rsidRPr="00ED2C36">
              <w:t>.</w:t>
            </w:r>
            <w:r w:rsidR="005226CE">
              <w:t>,</w:t>
            </w:r>
            <w:r w:rsidR="005226CE" w:rsidRPr="00ED2C36">
              <w:t xml:space="preserve"> </w:t>
            </w:r>
            <w:r w:rsidR="005226CE">
              <w:t xml:space="preserve">58.3. </w:t>
            </w:r>
            <w:r w:rsidR="005226CE" w:rsidRPr="00ED2C36">
              <w:t xml:space="preserve">un </w:t>
            </w:r>
            <w:r w:rsidR="005226CE">
              <w:t>59</w:t>
            </w:r>
            <w:r w:rsidR="005226CE" w:rsidRPr="00ED2C36">
              <w:t>.</w:t>
            </w:r>
            <w:r w:rsidR="005226CE">
              <w:t>2</w:t>
            </w:r>
            <w:r w:rsidR="005226CE" w:rsidRPr="00ED2C36">
              <w:t xml:space="preserve">. </w:t>
            </w:r>
            <w:r w:rsidRPr="00ED2C36">
              <w:t xml:space="preserve">punktā noteiktais: </w:t>
            </w:r>
            <w:r w:rsidR="005226CE">
              <w:t>7 pasākumi)</w:t>
            </w:r>
            <w:r w:rsidRPr="00ED2C36">
              <w:t>, no kuriem 3 būs valsts mēroga un 3 vietēja, visus finansējot no pašu resursiem?</w:t>
            </w:r>
          </w:p>
        </w:tc>
        <w:tc>
          <w:tcPr>
            <w:tcW w:w="7227" w:type="dxa"/>
          </w:tcPr>
          <w:p w14:paraId="598F35CE" w14:textId="08901FAF" w:rsidR="00757B01" w:rsidRPr="00357556" w:rsidRDefault="00757B01" w:rsidP="00FE33AB">
            <w:pPr>
              <w:autoSpaceDE w:val="0"/>
              <w:autoSpaceDN w:val="0"/>
              <w:jc w:val="both"/>
              <w:rPr>
                <w:rFonts w:eastAsiaTheme="minorHAnsi"/>
              </w:rPr>
            </w:pPr>
            <w:r w:rsidRPr="00357556">
              <w:rPr>
                <w:rFonts w:eastAsiaTheme="minorHAnsi"/>
              </w:rPr>
              <w:t>M</w:t>
            </w:r>
            <w:r>
              <w:rPr>
                <w:rFonts w:eastAsiaTheme="minorHAnsi"/>
              </w:rPr>
              <w:t xml:space="preserve">K noteikumu Nr. </w:t>
            </w:r>
            <w:r w:rsidR="005226CE">
              <w:rPr>
                <w:rFonts w:eastAsiaTheme="minorHAnsi"/>
              </w:rPr>
              <w:t>418</w:t>
            </w:r>
            <w:r>
              <w:rPr>
                <w:rFonts w:eastAsiaTheme="minorHAnsi"/>
              </w:rPr>
              <w:t xml:space="preserve"> </w:t>
            </w:r>
            <w:r w:rsidR="005226CE">
              <w:rPr>
                <w:rFonts w:eastAsiaTheme="minorHAnsi"/>
              </w:rPr>
              <w:t>5</w:t>
            </w:r>
            <w:r>
              <w:rPr>
                <w:rFonts w:eastAsiaTheme="minorHAnsi"/>
              </w:rPr>
              <w:t>. pielikuma</w:t>
            </w:r>
            <w:r w:rsidRPr="00357556">
              <w:rPr>
                <w:rFonts w:eastAsiaTheme="minorHAnsi"/>
              </w:rPr>
              <w:t xml:space="preserve"> </w:t>
            </w:r>
            <w:r w:rsidR="005226CE">
              <w:rPr>
                <w:rFonts w:eastAsiaTheme="minorHAnsi"/>
              </w:rPr>
              <w:t>14</w:t>
            </w:r>
            <w:r w:rsidRPr="00357556">
              <w:rPr>
                <w:rFonts w:eastAsiaTheme="minorHAnsi"/>
              </w:rPr>
              <w:t xml:space="preserve">. kritērijā maksimālo punktu skaitu saņems, ja projekta ietvaros plānoti vismaz </w:t>
            </w:r>
            <w:r w:rsidRPr="00357556">
              <w:rPr>
                <w:rFonts w:eastAsiaTheme="minorHAnsi"/>
                <w:b/>
              </w:rPr>
              <w:t>3 valsts mēroga</w:t>
            </w:r>
            <w:r w:rsidRPr="00357556">
              <w:rPr>
                <w:rFonts w:eastAsiaTheme="minorHAnsi"/>
              </w:rPr>
              <w:t xml:space="preserve"> pasākumi un vismaz </w:t>
            </w:r>
            <w:r w:rsidRPr="00357556">
              <w:rPr>
                <w:rFonts w:eastAsiaTheme="minorHAnsi"/>
                <w:b/>
              </w:rPr>
              <w:t>3</w:t>
            </w:r>
            <w:r w:rsidRPr="00357556">
              <w:rPr>
                <w:rFonts w:eastAsiaTheme="minorHAnsi"/>
              </w:rPr>
              <w:t xml:space="preserve"> </w:t>
            </w:r>
            <w:r w:rsidRPr="00357556">
              <w:rPr>
                <w:rFonts w:eastAsiaTheme="minorHAnsi"/>
                <w:b/>
              </w:rPr>
              <w:t>vietējā</w:t>
            </w:r>
            <w:r w:rsidRPr="00357556">
              <w:rPr>
                <w:rFonts w:eastAsiaTheme="minorHAnsi"/>
              </w:rPr>
              <w:t xml:space="preserve"> (pašvaldības) </w:t>
            </w:r>
            <w:r w:rsidRPr="00357556">
              <w:rPr>
                <w:rFonts w:eastAsiaTheme="minorHAnsi"/>
                <w:b/>
              </w:rPr>
              <w:t>mēroga</w:t>
            </w:r>
            <w:r w:rsidRPr="00357556">
              <w:rPr>
                <w:rFonts w:eastAsiaTheme="minorHAnsi"/>
              </w:rPr>
              <w:t xml:space="preserve"> pasākumi, </w:t>
            </w:r>
            <w:r w:rsidRPr="00357556">
              <w:rPr>
                <w:rFonts w:eastAsiaTheme="minorHAnsi"/>
                <w:b/>
              </w:rPr>
              <w:t>kuru izmaksas apmaksā projekta iesniedzējs no saviem līdzekļiem</w:t>
            </w:r>
            <w:r w:rsidRPr="00357556">
              <w:rPr>
                <w:rFonts w:eastAsiaTheme="minorHAnsi"/>
              </w:rPr>
              <w:t>.</w:t>
            </w:r>
          </w:p>
          <w:p w14:paraId="661002AA" w14:textId="3952A818" w:rsidR="00757B01" w:rsidRPr="00357556" w:rsidRDefault="00757B01" w:rsidP="00FE33AB">
            <w:pPr>
              <w:autoSpaceDE w:val="0"/>
              <w:autoSpaceDN w:val="0"/>
              <w:jc w:val="both"/>
              <w:rPr>
                <w:rFonts w:eastAsiaTheme="minorHAnsi"/>
              </w:rPr>
            </w:pPr>
            <w:r w:rsidRPr="00357556">
              <w:rPr>
                <w:rFonts w:eastAsiaTheme="minorHAnsi"/>
              </w:rPr>
              <w:t xml:space="preserve">MK noteikumu Nr. </w:t>
            </w:r>
            <w:r w:rsidR="005226CE">
              <w:rPr>
                <w:rFonts w:eastAsiaTheme="minorHAnsi"/>
              </w:rPr>
              <w:t>418</w:t>
            </w:r>
            <w:r w:rsidRPr="00357556">
              <w:rPr>
                <w:rFonts w:eastAsiaTheme="minorHAnsi"/>
              </w:rPr>
              <w:t xml:space="preserve"> </w:t>
            </w:r>
            <w:r w:rsidR="005226CE">
              <w:rPr>
                <w:rFonts w:eastAsiaTheme="minorHAnsi"/>
              </w:rPr>
              <w:t>58</w:t>
            </w:r>
            <w:r w:rsidRPr="00357556">
              <w:rPr>
                <w:rFonts w:eastAsiaTheme="minorHAnsi"/>
              </w:rPr>
              <w:t xml:space="preserve">. punktā minētās darbības tiks vērtētas, kā </w:t>
            </w:r>
            <w:r w:rsidRPr="00357556">
              <w:rPr>
                <w:rFonts w:eastAsiaTheme="minorHAnsi"/>
                <w:b/>
              </w:rPr>
              <w:t>publicitātes pasākumi</w:t>
            </w:r>
            <w:r w:rsidRPr="00357556">
              <w:rPr>
                <w:rFonts w:eastAsiaTheme="minorHAnsi"/>
              </w:rPr>
              <w:t xml:space="preserve"> un vērtēti M</w:t>
            </w:r>
            <w:r>
              <w:rPr>
                <w:rFonts w:eastAsiaTheme="minorHAnsi"/>
              </w:rPr>
              <w:t xml:space="preserve">K noteikumu Nr. </w:t>
            </w:r>
            <w:r w:rsidR="005226CE">
              <w:rPr>
                <w:rFonts w:eastAsiaTheme="minorHAnsi"/>
              </w:rPr>
              <w:t>418</w:t>
            </w:r>
            <w:r>
              <w:rPr>
                <w:rFonts w:eastAsiaTheme="minorHAnsi"/>
              </w:rPr>
              <w:t xml:space="preserve"> </w:t>
            </w:r>
            <w:r w:rsidR="005226CE">
              <w:rPr>
                <w:rFonts w:eastAsiaTheme="minorHAnsi"/>
              </w:rPr>
              <w:t>4</w:t>
            </w:r>
            <w:r>
              <w:rPr>
                <w:rFonts w:eastAsiaTheme="minorHAnsi"/>
              </w:rPr>
              <w:t>. pielikuma</w:t>
            </w:r>
            <w:r w:rsidRPr="00357556">
              <w:rPr>
                <w:rFonts w:eastAsiaTheme="minorHAnsi"/>
              </w:rPr>
              <w:t xml:space="preserve"> </w:t>
            </w:r>
            <w:r>
              <w:rPr>
                <w:rFonts w:eastAsiaTheme="minorHAnsi"/>
              </w:rPr>
              <w:t xml:space="preserve">1.16. kritērijā un  </w:t>
            </w:r>
            <w:r w:rsidRPr="00D03A09">
              <w:rPr>
                <w:rFonts w:eastAsiaTheme="minorHAnsi"/>
              </w:rPr>
              <w:t>M</w:t>
            </w:r>
            <w:r>
              <w:rPr>
                <w:rFonts w:eastAsiaTheme="minorHAnsi"/>
              </w:rPr>
              <w:t xml:space="preserve">K noteikumu Nr. </w:t>
            </w:r>
            <w:r w:rsidR="005226CE">
              <w:rPr>
                <w:rFonts w:eastAsiaTheme="minorHAnsi"/>
              </w:rPr>
              <w:t>418</w:t>
            </w:r>
            <w:r>
              <w:rPr>
                <w:rFonts w:eastAsiaTheme="minorHAnsi"/>
              </w:rPr>
              <w:t xml:space="preserve"> </w:t>
            </w:r>
            <w:r w:rsidR="005226CE">
              <w:rPr>
                <w:rFonts w:eastAsiaTheme="minorHAnsi"/>
              </w:rPr>
              <w:t>5</w:t>
            </w:r>
            <w:r w:rsidRPr="00D03A09">
              <w:rPr>
                <w:rFonts w:eastAsiaTheme="minorHAnsi"/>
              </w:rPr>
              <w:t xml:space="preserve">. pielikuma </w:t>
            </w:r>
            <w:r w:rsidR="005226CE">
              <w:rPr>
                <w:rFonts w:eastAsiaTheme="minorHAnsi"/>
              </w:rPr>
              <w:t>14</w:t>
            </w:r>
            <w:r w:rsidRPr="00357556">
              <w:rPr>
                <w:rFonts w:eastAsiaTheme="minorHAnsi"/>
              </w:rPr>
              <w:t xml:space="preserve">. kritērijā. </w:t>
            </w:r>
            <w:r>
              <w:rPr>
                <w:rFonts w:eastAsiaTheme="minorHAnsi"/>
              </w:rPr>
              <w:t xml:space="preserve">Vēršam uzmanību, ka </w:t>
            </w:r>
            <w:r w:rsidRPr="00357556">
              <w:rPr>
                <w:rFonts w:eastAsiaTheme="minorHAnsi"/>
              </w:rPr>
              <w:t xml:space="preserve">MK noteikumu Nr. </w:t>
            </w:r>
            <w:r w:rsidR="005226CE">
              <w:rPr>
                <w:rFonts w:eastAsiaTheme="minorHAnsi"/>
              </w:rPr>
              <w:t>418</w:t>
            </w:r>
            <w:r w:rsidRPr="00357556">
              <w:rPr>
                <w:rFonts w:eastAsiaTheme="minorHAnsi"/>
              </w:rPr>
              <w:t xml:space="preserve"> </w:t>
            </w:r>
            <w:r w:rsidR="005226CE">
              <w:rPr>
                <w:rFonts w:eastAsiaTheme="minorHAnsi"/>
              </w:rPr>
              <w:t>58</w:t>
            </w:r>
            <w:r w:rsidRPr="00357556">
              <w:rPr>
                <w:rFonts w:eastAsiaTheme="minorHAnsi"/>
              </w:rPr>
              <w:t>.1.</w:t>
            </w:r>
            <w:r>
              <w:rPr>
                <w:rFonts w:eastAsiaTheme="minorHAnsi"/>
              </w:rPr>
              <w:t xml:space="preserve"> </w:t>
            </w:r>
            <w:r w:rsidRPr="00357556">
              <w:rPr>
                <w:rFonts w:eastAsiaTheme="minorHAnsi"/>
              </w:rPr>
              <w:t xml:space="preserve">apakšpunktā minētā informācijas ievietošana tīmekļa vietnē tiks uzskatīta par vienu pasākumu (neatkarīgi no publikāciju skaita tīmekļa vietnē) un </w:t>
            </w:r>
            <w:r w:rsidR="005226CE">
              <w:rPr>
                <w:rFonts w:eastAsiaTheme="minorHAnsi"/>
              </w:rPr>
              <w:t>58</w:t>
            </w:r>
            <w:r w:rsidRPr="00357556">
              <w:rPr>
                <w:rFonts w:eastAsiaTheme="minorHAnsi"/>
              </w:rPr>
              <w:t>.4.</w:t>
            </w:r>
            <w:r>
              <w:rPr>
                <w:rFonts w:eastAsiaTheme="minorHAnsi"/>
              </w:rPr>
              <w:t xml:space="preserve"> </w:t>
            </w:r>
            <w:r w:rsidRPr="00357556">
              <w:rPr>
                <w:rFonts w:eastAsiaTheme="minorHAnsi"/>
              </w:rPr>
              <w:t>apakšpunktā minētā informatīvās plāksne izvietošana tiks uzskatīta par vienu pasākumu (neatkarīgi no izvietoto informatīvo plāksnīšu skaita).</w:t>
            </w:r>
          </w:p>
          <w:p w14:paraId="0F432401" w14:textId="77777777" w:rsidR="00757B01" w:rsidRPr="00357556" w:rsidRDefault="00757B01" w:rsidP="00FE33AB">
            <w:pPr>
              <w:autoSpaceDE w:val="0"/>
              <w:autoSpaceDN w:val="0"/>
              <w:jc w:val="both"/>
              <w:rPr>
                <w:rFonts w:eastAsiaTheme="minorHAnsi"/>
              </w:rPr>
            </w:pPr>
            <w:r w:rsidRPr="00357556">
              <w:rPr>
                <w:rFonts w:eastAsiaTheme="minorHAnsi"/>
              </w:rPr>
              <w:t xml:space="preserve">Papildus informējam, ka informācijas ievietošana tīmekļa vietnē latviešu valodā uzskatāma par </w:t>
            </w:r>
            <w:r w:rsidRPr="00357556">
              <w:rPr>
                <w:rFonts w:eastAsiaTheme="minorHAnsi"/>
                <w:b/>
                <w:bCs/>
              </w:rPr>
              <w:t>valsts mēroga</w:t>
            </w:r>
            <w:r w:rsidRPr="00357556">
              <w:rPr>
                <w:rFonts w:eastAsiaTheme="minorHAnsi"/>
              </w:rPr>
              <w:t xml:space="preserve"> pasākumu. </w:t>
            </w:r>
          </w:p>
          <w:p w14:paraId="1DC8F196" w14:textId="3B2A253F" w:rsidR="00757B01" w:rsidRPr="00E300CA" w:rsidRDefault="00757B01" w:rsidP="005226CE">
            <w:pPr>
              <w:autoSpaceDE w:val="0"/>
              <w:autoSpaceDN w:val="0"/>
              <w:jc w:val="both"/>
              <w:rPr>
                <w:rFonts w:eastAsiaTheme="minorHAnsi"/>
                <w:sz w:val="28"/>
                <w:szCs w:val="28"/>
              </w:rPr>
            </w:pPr>
            <w:r w:rsidRPr="00357556">
              <w:rPr>
                <w:rFonts w:eastAsiaTheme="minorHAnsi"/>
              </w:rPr>
              <w:t xml:space="preserve">Vēršam uzmanību, ka </w:t>
            </w:r>
            <w:r w:rsidRPr="00B7519B">
              <w:rPr>
                <w:rFonts w:eastAsiaTheme="minorHAnsi"/>
              </w:rPr>
              <w:t>M</w:t>
            </w:r>
            <w:r>
              <w:rPr>
                <w:rFonts w:eastAsiaTheme="minorHAnsi"/>
              </w:rPr>
              <w:t xml:space="preserve">K noteikumu Nr. </w:t>
            </w:r>
            <w:r w:rsidR="005226CE">
              <w:rPr>
                <w:rFonts w:eastAsiaTheme="minorHAnsi"/>
              </w:rPr>
              <w:t>418</w:t>
            </w:r>
            <w:r>
              <w:rPr>
                <w:rFonts w:eastAsiaTheme="minorHAnsi"/>
              </w:rPr>
              <w:t xml:space="preserve"> </w:t>
            </w:r>
            <w:r w:rsidR="005226CE">
              <w:rPr>
                <w:rFonts w:eastAsiaTheme="minorHAnsi"/>
              </w:rPr>
              <w:t>5</w:t>
            </w:r>
            <w:r>
              <w:rPr>
                <w:rFonts w:eastAsiaTheme="minorHAnsi"/>
              </w:rPr>
              <w:t>. pielikuma</w:t>
            </w:r>
            <w:r w:rsidR="005226CE">
              <w:rPr>
                <w:rFonts w:eastAsiaTheme="minorHAnsi"/>
              </w:rPr>
              <w:t xml:space="preserve"> 14</w:t>
            </w:r>
            <w:r w:rsidRPr="00B7519B">
              <w:rPr>
                <w:rFonts w:eastAsiaTheme="minorHAnsi"/>
              </w:rPr>
              <w:t>. kritērijā</w:t>
            </w:r>
            <w:r w:rsidRPr="00357556">
              <w:rPr>
                <w:rFonts w:eastAsiaTheme="minorHAnsi"/>
              </w:rPr>
              <w:t xml:space="preserve"> vērtē </w:t>
            </w:r>
            <w:r w:rsidRPr="00357556">
              <w:rPr>
                <w:rFonts w:eastAsiaTheme="minorHAnsi"/>
                <w:b/>
              </w:rPr>
              <w:t>tikai plānotos publicitātes pasākumus</w:t>
            </w:r>
            <w:r w:rsidRPr="00357556">
              <w:rPr>
                <w:rFonts w:eastAsiaTheme="minorHAnsi"/>
              </w:rPr>
              <w:t xml:space="preserve"> un </w:t>
            </w:r>
            <w:r w:rsidRPr="00357556">
              <w:rPr>
                <w:rFonts w:eastAsiaTheme="minorHAnsi"/>
                <w:b/>
              </w:rPr>
              <w:t xml:space="preserve">neņem vērā </w:t>
            </w:r>
            <w:r w:rsidRPr="00357556">
              <w:rPr>
                <w:rFonts w:eastAsiaTheme="minorHAnsi"/>
              </w:rPr>
              <w:t xml:space="preserve">MK noteikumu Nr. </w:t>
            </w:r>
            <w:r w:rsidR="005226CE">
              <w:rPr>
                <w:rFonts w:eastAsiaTheme="minorHAnsi"/>
              </w:rPr>
              <w:t>418</w:t>
            </w:r>
            <w:r w:rsidRPr="00357556">
              <w:rPr>
                <w:rFonts w:eastAsiaTheme="minorHAnsi"/>
              </w:rPr>
              <w:t xml:space="preserve"> </w:t>
            </w:r>
            <w:r w:rsidR="005226CE">
              <w:rPr>
                <w:rFonts w:eastAsiaTheme="minorHAnsi"/>
              </w:rPr>
              <w:t>59</w:t>
            </w:r>
            <w:r w:rsidRPr="00357556">
              <w:rPr>
                <w:rFonts w:eastAsiaTheme="minorHAnsi"/>
              </w:rPr>
              <w:t>.</w:t>
            </w:r>
            <w:r>
              <w:rPr>
                <w:rFonts w:eastAsiaTheme="minorHAnsi"/>
              </w:rPr>
              <w:t xml:space="preserve"> </w:t>
            </w:r>
            <w:r w:rsidRPr="00357556">
              <w:rPr>
                <w:rFonts w:eastAsiaTheme="minorHAnsi"/>
              </w:rPr>
              <w:t>punktā noteiktos</w:t>
            </w:r>
            <w:r w:rsidRPr="00357556">
              <w:rPr>
                <w:rFonts w:eastAsiaTheme="minorHAnsi"/>
                <w:b/>
              </w:rPr>
              <w:t xml:space="preserve"> demonstrēšanas pasākumus</w:t>
            </w:r>
            <w:r w:rsidRPr="00357556">
              <w:rPr>
                <w:rFonts w:eastAsiaTheme="minorHAnsi"/>
              </w:rPr>
              <w:t xml:space="preserve">, kurus vērtē pie </w:t>
            </w:r>
            <w:r w:rsidRPr="00D03A09">
              <w:rPr>
                <w:rFonts w:eastAsiaTheme="minorHAnsi"/>
              </w:rPr>
              <w:t xml:space="preserve">MK noteikumu Nr. </w:t>
            </w:r>
            <w:r w:rsidR="005226CE">
              <w:rPr>
                <w:rFonts w:eastAsiaTheme="minorHAnsi"/>
              </w:rPr>
              <w:t>418</w:t>
            </w:r>
            <w:r w:rsidRPr="00D03A09">
              <w:rPr>
                <w:rFonts w:eastAsiaTheme="minorHAnsi"/>
              </w:rPr>
              <w:t xml:space="preserve"> </w:t>
            </w:r>
            <w:r w:rsidR="005226CE">
              <w:rPr>
                <w:rFonts w:eastAsiaTheme="minorHAnsi"/>
              </w:rPr>
              <w:t>4</w:t>
            </w:r>
            <w:r w:rsidRPr="00D03A09">
              <w:rPr>
                <w:rFonts w:eastAsiaTheme="minorHAnsi"/>
              </w:rPr>
              <w:t xml:space="preserve">. pielikuma </w:t>
            </w:r>
            <w:r w:rsidRPr="00357556">
              <w:rPr>
                <w:rFonts w:eastAsiaTheme="minorHAnsi"/>
              </w:rPr>
              <w:t>1.16.</w:t>
            </w:r>
            <w:r>
              <w:rPr>
                <w:rFonts w:eastAsiaTheme="minorHAnsi"/>
              </w:rPr>
              <w:t xml:space="preserve"> </w:t>
            </w:r>
            <w:r w:rsidRPr="00357556">
              <w:rPr>
                <w:rFonts w:eastAsiaTheme="minorHAnsi"/>
              </w:rPr>
              <w:t>kritērija.</w:t>
            </w:r>
            <w:r w:rsidRPr="00357556">
              <w:rPr>
                <w:rFonts w:eastAsiaTheme="minorHAnsi"/>
                <w:sz w:val="28"/>
                <w:szCs w:val="28"/>
              </w:rPr>
              <w:t xml:space="preserve"> </w:t>
            </w:r>
          </w:p>
        </w:tc>
      </w:tr>
      <w:bookmarkEnd w:id="4"/>
      <w:tr w:rsidR="00EC403C" w:rsidRPr="007B520A" w14:paraId="10BFFBD4" w14:textId="77777777" w:rsidTr="00F6138F">
        <w:trPr>
          <w:cantSplit/>
        </w:trPr>
        <w:tc>
          <w:tcPr>
            <w:tcW w:w="645" w:type="dxa"/>
          </w:tcPr>
          <w:p w14:paraId="52A5C02C" w14:textId="08F30A57" w:rsidR="00EC403C" w:rsidRPr="00493C28" w:rsidRDefault="00757B01" w:rsidP="00AB59BD">
            <w:pPr>
              <w:jc w:val="center"/>
            </w:pPr>
            <w:r>
              <w:t>4</w:t>
            </w:r>
            <w:r w:rsidR="00D74F7A">
              <w:t>.</w:t>
            </w:r>
          </w:p>
        </w:tc>
        <w:tc>
          <w:tcPr>
            <w:tcW w:w="6754" w:type="dxa"/>
          </w:tcPr>
          <w:p w14:paraId="3BCA392B" w14:textId="736CD522" w:rsidR="00EC403C" w:rsidRPr="00493C28" w:rsidRDefault="00E5164F" w:rsidP="00DD3A2F">
            <w:pPr>
              <w:autoSpaceDE w:val="0"/>
              <w:autoSpaceDN w:val="0"/>
              <w:jc w:val="both"/>
              <w:rPr>
                <w:color w:val="000000"/>
              </w:rPr>
            </w:pPr>
            <w:r>
              <w:rPr>
                <w:color w:val="000000"/>
              </w:rPr>
              <w:t>K</w:t>
            </w:r>
            <w:r w:rsidRPr="00E5164F">
              <w:rPr>
                <w:color w:val="000000"/>
              </w:rPr>
              <w:t>as notiek, ja projekta izmaksas pārsniedz maksimāli noteiktos? Vai tādā gadījumā attiecināmā summa ir 5 miljoni un pārejās izmaksas ir neattiecināmas, kas jāsedz iesniedzējam no saviem līdzekļiem?</w:t>
            </w:r>
          </w:p>
        </w:tc>
        <w:tc>
          <w:tcPr>
            <w:tcW w:w="7227" w:type="dxa"/>
          </w:tcPr>
          <w:p w14:paraId="57FFF0A6" w14:textId="5C141B97" w:rsidR="008B23A2" w:rsidRPr="009E53A9" w:rsidRDefault="00F827FF" w:rsidP="006B5501">
            <w:pPr>
              <w:jc w:val="both"/>
              <w:rPr>
                <w:b/>
                <w:color w:val="000000"/>
              </w:rPr>
            </w:pPr>
            <w:r>
              <w:rPr>
                <w:rFonts w:eastAsiaTheme="minorHAnsi"/>
              </w:rPr>
              <w:t>Informējam, ka p</w:t>
            </w:r>
            <w:r w:rsidRPr="00F827FF">
              <w:rPr>
                <w:rFonts w:eastAsiaTheme="minorHAnsi"/>
              </w:rPr>
              <w:t xml:space="preserve">rojekta kopējās attiecināmās izmaksas sastāda EKII finansējums un projekta iesniedzēja finansējums. Konkursa ietavaros maksimāli pieļaujamā EKII atbalsta intensitāte nepārsniedz 80% no projekta kopējām attiecināmajām izmaksām. </w:t>
            </w:r>
            <w:r w:rsidR="00D74F7A" w:rsidRPr="00357556">
              <w:rPr>
                <w:rFonts w:eastAsiaTheme="minorHAnsi"/>
              </w:rPr>
              <w:t>M</w:t>
            </w:r>
            <w:r w:rsidR="00D74F7A">
              <w:rPr>
                <w:rFonts w:eastAsiaTheme="minorHAnsi"/>
              </w:rPr>
              <w:t xml:space="preserve">K noteikumos Nr. 418 nav noteikts </w:t>
            </w:r>
            <w:r w:rsidR="00D74F7A" w:rsidRPr="00D74F7A">
              <w:rPr>
                <w:rFonts w:eastAsiaTheme="minorHAnsi"/>
              </w:rPr>
              <w:t>projekta kopēj</w:t>
            </w:r>
            <w:r w:rsidR="00D74F7A">
              <w:rPr>
                <w:rFonts w:eastAsiaTheme="minorHAnsi"/>
              </w:rPr>
              <w:t xml:space="preserve">o </w:t>
            </w:r>
            <w:r w:rsidR="008B23A2">
              <w:rPr>
                <w:rFonts w:eastAsiaTheme="minorHAnsi"/>
              </w:rPr>
              <w:t xml:space="preserve">un projekta </w:t>
            </w:r>
            <w:r w:rsidR="00D74F7A">
              <w:rPr>
                <w:rFonts w:eastAsiaTheme="minorHAnsi"/>
              </w:rPr>
              <w:t>attiecināmo</w:t>
            </w:r>
            <w:r w:rsidR="00D74F7A" w:rsidRPr="00D74F7A">
              <w:rPr>
                <w:rFonts w:eastAsiaTheme="minorHAnsi"/>
              </w:rPr>
              <w:t xml:space="preserve"> izmaks</w:t>
            </w:r>
            <w:r w:rsidR="00D74F7A">
              <w:rPr>
                <w:rFonts w:eastAsiaTheme="minorHAnsi"/>
              </w:rPr>
              <w:t>u limits</w:t>
            </w:r>
            <w:r w:rsidR="008B23A2">
              <w:rPr>
                <w:rFonts w:eastAsiaTheme="minorHAnsi"/>
              </w:rPr>
              <w:t>.</w:t>
            </w:r>
            <w:r w:rsidR="00D74F7A">
              <w:rPr>
                <w:rFonts w:eastAsiaTheme="minorHAnsi"/>
              </w:rPr>
              <w:t xml:space="preserve"> </w:t>
            </w:r>
            <w:r w:rsidR="008B23A2">
              <w:rPr>
                <w:rFonts w:eastAsiaTheme="minorHAnsi"/>
              </w:rPr>
              <w:t>T</w:t>
            </w:r>
            <w:r w:rsidR="00D74F7A">
              <w:rPr>
                <w:rFonts w:eastAsiaTheme="minorHAnsi"/>
              </w:rPr>
              <w:t xml:space="preserve">aču </w:t>
            </w:r>
            <w:r w:rsidR="00D74F7A" w:rsidRPr="00D74F7A">
              <w:rPr>
                <w:rFonts w:eastAsiaTheme="minorHAnsi"/>
              </w:rPr>
              <w:t xml:space="preserve">MK noteikumu Nr. 418 </w:t>
            </w:r>
            <w:r w:rsidR="00D74F7A">
              <w:rPr>
                <w:rFonts w:eastAsiaTheme="minorHAnsi"/>
              </w:rPr>
              <w:t>17</w:t>
            </w:r>
            <w:r w:rsidR="00D74F7A" w:rsidRPr="00D74F7A">
              <w:rPr>
                <w:rFonts w:eastAsiaTheme="minorHAnsi"/>
              </w:rPr>
              <w:t>. punktā</w:t>
            </w:r>
            <w:r w:rsidR="00D74F7A">
              <w:rPr>
                <w:rFonts w:eastAsiaTheme="minorHAnsi"/>
              </w:rPr>
              <w:t xml:space="preserve"> </w:t>
            </w:r>
            <w:r w:rsidR="008B23A2">
              <w:rPr>
                <w:rFonts w:eastAsiaTheme="minorHAnsi"/>
              </w:rPr>
              <w:t xml:space="preserve">ir </w:t>
            </w:r>
            <w:r w:rsidR="00D74F7A">
              <w:rPr>
                <w:rFonts w:eastAsiaTheme="minorHAnsi"/>
              </w:rPr>
              <w:t xml:space="preserve">norādīts, ka </w:t>
            </w:r>
            <w:r w:rsidR="00D74F7A" w:rsidRPr="00D74F7A">
              <w:rPr>
                <w:rFonts w:eastAsiaTheme="minorHAnsi"/>
              </w:rPr>
              <w:t xml:space="preserve">vienam projektam pieejamais </w:t>
            </w:r>
            <w:r>
              <w:rPr>
                <w:rFonts w:eastAsiaTheme="minorHAnsi"/>
              </w:rPr>
              <w:t>EKII</w:t>
            </w:r>
            <w:r w:rsidR="00D74F7A" w:rsidRPr="00D74F7A">
              <w:rPr>
                <w:rFonts w:eastAsiaTheme="minorHAnsi"/>
              </w:rPr>
              <w:t xml:space="preserve"> finansējums </w:t>
            </w:r>
            <w:r w:rsidR="00D74F7A">
              <w:rPr>
                <w:rFonts w:eastAsiaTheme="minorHAnsi"/>
              </w:rPr>
              <w:t>nevar pārsniegt</w:t>
            </w:r>
            <w:r w:rsidR="00D74F7A" w:rsidRPr="00D74F7A">
              <w:rPr>
                <w:rFonts w:eastAsiaTheme="minorHAnsi"/>
              </w:rPr>
              <w:t xml:space="preserve"> 5</w:t>
            </w:r>
            <w:r w:rsidR="006B5501">
              <w:rPr>
                <w:rFonts w:eastAsiaTheme="minorHAnsi"/>
              </w:rPr>
              <w:t> </w:t>
            </w:r>
            <w:r w:rsidR="00D74F7A" w:rsidRPr="00D74F7A">
              <w:rPr>
                <w:rFonts w:eastAsiaTheme="minorHAnsi"/>
              </w:rPr>
              <w:t>000</w:t>
            </w:r>
            <w:r w:rsidR="006B5501">
              <w:rPr>
                <w:rFonts w:eastAsiaTheme="minorHAnsi"/>
              </w:rPr>
              <w:t> </w:t>
            </w:r>
            <w:r w:rsidR="00D74F7A" w:rsidRPr="00D74F7A">
              <w:rPr>
                <w:rFonts w:eastAsiaTheme="minorHAnsi"/>
              </w:rPr>
              <w:t xml:space="preserve">000 </w:t>
            </w:r>
            <w:r w:rsidR="00D74F7A" w:rsidRPr="00D74F7A">
              <w:rPr>
                <w:rFonts w:eastAsiaTheme="minorHAnsi"/>
                <w:i/>
              </w:rPr>
              <w:t>euro</w:t>
            </w:r>
            <w:r w:rsidR="00D74F7A">
              <w:rPr>
                <w:rFonts w:eastAsiaTheme="minorHAnsi"/>
              </w:rPr>
              <w:t xml:space="preserve">.  Projekta iesniedzējam ir jānodrošina finansējums projekta iesniedzēja </w:t>
            </w:r>
            <w:r w:rsidR="008B23A2">
              <w:rPr>
                <w:rFonts w:eastAsiaTheme="minorHAnsi"/>
              </w:rPr>
              <w:t>attiecināmo izmaksu līdz</w:t>
            </w:r>
            <w:r w:rsidR="00D74F7A">
              <w:rPr>
                <w:rFonts w:eastAsiaTheme="minorHAnsi"/>
              </w:rPr>
              <w:t>finansējuma daļai un</w:t>
            </w:r>
            <w:r>
              <w:rPr>
                <w:rFonts w:eastAsiaTheme="minorHAnsi"/>
              </w:rPr>
              <w:t>, ja nepieciešams</w:t>
            </w:r>
            <w:r w:rsidR="00D74F7A">
              <w:rPr>
                <w:rFonts w:eastAsiaTheme="minorHAnsi"/>
              </w:rPr>
              <w:t xml:space="preserve"> neattiecinām</w:t>
            </w:r>
            <w:r w:rsidR="008B23A2">
              <w:rPr>
                <w:rFonts w:eastAsiaTheme="minorHAnsi"/>
              </w:rPr>
              <w:t>o</w:t>
            </w:r>
            <w:r w:rsidR="00D74F7A">
              <w:rPr>
                <w:rFonts w:eastAsiaTheme="minorHAnsi"/>
              </w:rPr>
              <w:t xml:space="preserve"> izmaks</w:t>
            </w:r>
            <w:r w:rsidR="008B23A2">
              <w:rPr>
                <w:rFonts w:eastAsiaTheme="minorHAnsi"/>
              </w:rPr>
              <w:t>u daļai</w:t>
            </w:r>
            <w:r w:rsidR="00D74F7A">
              <w:rPr>
                <w:rFonts w:eastAsiaTheme="minorHAnsi"/>
              </w:rPr>
              <w:t>.</w:t>
            </w:r>
          </w:p>
        </w:tc>
      </w:tr>
      <w:tr w:rsidR="00007F85" w:rsidRPr="007B520A" w14:paraId="24581055" w14:textId="77777777" w:rsidTr="00F6138F">
        <w:trPr>
          <w:cantSplit/>
        </w:trPr>
        <w:tc>
          <w:tcPr>
            <w:tcW w:w="645" w:type="dxa"/>
          </w:tcPr>
          <w:p w14:paraId="45B021E7" w14:textId="36DB7582" w:rsidR="00007F85" w:rsidRDefault="00007F85" w:rsidP="00AB59BD">
            <w:pPr>
              <w:jc w:val="center"/>
            </w:pPr>
            <w:r>
              <w:lastRenderedPageBreak/>
              <w:t>5.</w:t>
            </w:r>
          </w:p>
        </w:tc>
        <w:tc>
          <w:tcPr>
            <w:tcW w:w="6754" w:type="dxa"/>
          </w:tcPr>
          <w:p w14:paraId="111167A6" w14:textId="33EC8D2A" w:rsidR="00007F85" w:rsidRDefault="00007F85" w:rsidP="00007F85">
            <w:pPr>
              <w:autoSpaceDE w:val="0"/>
              <w:autoSpaceDN w:val="0"/>
              <w:jc w:val="both"/>
              <w:rPr>
                <w:color w:val="000000"/>
              </w:rPr>
            </w:pPr>
            <w:r w:rsidRPr="00007F85">
              <w:rPr>
                <w:color w:val="000000"/>
              </w:rPr>
              <w:t xml:space="preserve">Vai, lai </w:t>
            </w:r>
            <w:r>
              <w:rPr>
                <w:color w:val="000000"/>
              </w:rPr>
              <w:t xml:space="preserve">izpildītu </w:t>
            </w:r>
            <w:r w:rsidRPr="00007F85">
              <w:rPr>
                <w:color w:val="000000"/>
              </w:rPr>
              <w:t>MK noteikumu Nr. 418 5. pielikuma 1</w:t>
            </w:r>
            <w:r>
              <w:rPr>
                <w:color w:val="000000"/>
              </w:rPr>
              <w:t>9</w:t>
            </w:r>
            <w:r w:rsidRPr="00007F85">
              <w:rPr>
                <w:color w:val="000000"/>
              </w:rPr>
              <w:t>. kritērij</w:t>
            </w:r>
            <w:r>
              <w:rPr>
                <w:color w:val="000000"/>
              </w:rPr>
              <w:t>u (</w:t>
            </w:r>
            <w:r w:rsidRPr="00007F85">
              <w:rPr>
                <w:color w:val="000000"/>
              </w:rPr>
              <w:t>Ilgtspējīgas būvniecības kvalitātes vērtēšanas sistēmas novērtējums</w:t>
            </w:r>
            <w:r>
              <w:rPr>
                <w:color w:val="000000"/>
              </w:rPr>
              <w:t>)</w:t>
            </w:r>
            <w:r w:rsidRPr="00007F85">
              <w:rPr>
                <w:color w:val="000000"/>
              </w:rPr>
              <w:t xml:space="preserve"> būtu nepieciešams sertificēta speciālista atzinums?</w:t>
            </w:r>
          </w:p>
        </w:tc>
        <w:tc>
          <w:tcPr>
            <w:tcW w:w="7227" w:type="dxa"/>
          </w:tcPr>
          <w:p w14:paraId="63C1FEC7" w14:textId="7AE55E0F" w:rsidR="00007F85" w:rsidRDefault="00007F85" w:rsidP="00830ECF">
            <w:pPr>
              <w:jc w:val="both"/>
              <w:rPr>
                <w:rFonts w:eastAsiaTheme="minorHAnsi"/>
              </w:rPr>
            </w:pPr>
            <w:r w:rsidRPr="00007F85">
              <w:rPr>
                <w:rFonts w:eastAsiaTheme="minorHAnsi"/>
              </w:rPr>
              <w:t>Lai pamatotu, ka projektu plānots īstenot, lietojot kādu no starptautiskās ilgtspējīgas būvniecības kvalitātes vērtēšanas sistēmām, tam ir jābūt norādītam</w:t>
            </w:r>
            <w:r w:rsidR="00830ECF">
              <w:rPr>
                <w:rFonts w:eastAsiaTheme="minorHAnsi"/>
              </w:rPr>
              <w:t xml:space="preserve"> un aprakstītam</w:t>
            </w:r>
            <w:r w:rsidRPr="00007F85">
              <w:rPr>
                <w:rFonts w:eastAsiaTheme="minorHAnsi"/>
              </w:rPr>
              <w:t xml:space="preserve"> projekta </w:t>
            </w:r>
            <w:r w:rsidR="00830ECF">
              <w:rPr>
                <w:rFonts w:eastAsiaTheme="minorHAnsi"/>
              </w:rPr>
              <w:t>iesniegumā (piemēram, projekta iesnieguma veidlapas 2.6.</w:t>
            </w:r>
            <w:r w:rsidR="00F82FFB">
              <w:rPr>
                <w:rFonts w:eastAsiaTheme="minorHAnsi"/>
              </w:rPr>
              <w:t> </w:t>
            </w:r>
            <w:r w:rsidR="00830ECF">
              <w:rPr>
                <w:rFonts w:eastAsiaTheme="minorHAnsi"/>
              </w:rPr>
              <w:t xml:space="preserve">sadaļa), kā arī saistītam ar projektā plānotajām </w:t>
            </w:r>
            <w:r w:rsidRPr="00007F85">
              <w:rPr>
                <w:rFonts w:eastAsiaTheme="minorHAnsi"/>
              </w:rPr>
              <w:t>aktivitātē</w:t>
            </w:r>
            <w:r w:rsidR="00DC7EAC">
              <w:rPr>
                <w:rFonts w:eastAsiaTheme="minorHAnsi"/>
              </w:rPr>
              <w:t>m</w:t>
            </w:r>
            <w:r w:rsidR="00830ECF">
              <w:rPr>
                <w:rFonts w:eastAsiaTheme="minorHAnsi"/>
              </w:rPr>
              <w:t xml:space="preserve"> un papildu iesniedzamajiem dokumentiem (piemēram, </w:t>
            </w:r>
            <w:r w:rsidR="00830ECF" w:rsidRPr="00830ECF">
              <w:t>būvniecības ieceres dokument</w:t>
            </w:r>
            <w:r w:rsidR="00830ECF">
              <w:t>i</w:t>
            </w:r>
            <w:r w:rsidR="00830ECF" w:rsidRPr="00830ECF">
              <w:t xml:space="preserve"> (būvprojekt</w:t>
            </w:r>
            <w:r w:rsidR="00830ECF">
              <w:t>s</w:t>
            </w:r>
            <w:r w:rsidR="00830ECF" w:rsidRPr="00830ECF">
              <w:t xml:space="preserve"> minimālā sastāvā)</w:t>
            </w:r>
            <w:r w:rsidR="00830ECF">
              <w:rPr>
                <w:rFonts w:eastAsiaTheme="minorHAnsi"/>
              </w:rPr>
              <w:t>).</w:t>
            </w:r>
            <w:r>
              <w:rPr>
                <w:rFonts w:eastAsiaTheme="minorHAnsi"/>
              </w:rPr>
              <w:t xml:space="preserve"> </w:t>
            </w:r>
            <w:r w:rsidR="00830ECF" w:rsidRPr="00DC7EAC">
              <w:rPr>
                <w:rFonts w:eastAsiaTheme="minorHAnsi"/>
              </w:rPr>
              <w:t>S</w:t>
            </w:r>
            <w:r w:rsidRPr="00F82FFB">
              <w:rPr>
                <w:color w:val="000000"/>
              </w:rPr>
              <w:t>ertificēta speciālista atzinums</w:t>
            </w:r>
            <w:r w:rsidR="00830ECF" w:rsidRPr="00F82FFB">
              <w:rPr>
                <w:color w:val="000000"/>
              </w:rPr>
              <w:t xml:space="preserve"> uz projekta iesnieguma iesniegšanas brīdi</w:t>
            </w:r>
            <w:r w:rsidRPr="00F82FFB">
              <w:rPr>
                <w:color w:val="000000"/>
              </w:rPr>
              <w:t xml:space="preserve"> nav nepieciešams</w:t>
            </w:r>
            <w:r w:rsidR="00DC7EAC">
              <w:rPr>
                <w:color w:val="000000"/>
              </w:rPr>
              <w:t>, taču projekta iesniegumam ir jāsatur precīzas norādes par attiecīgo ilgtspējīgo būvniecības kvalitātes sistēmu, kuru plānots izmantot un principiem, kas atbilstoši šai sistēmai tiks ņemti vērā projekta īstenošanas laikā. Tāpat projekta iesniegumā jābūt norādītam laikam, kurā tiks veikta ēkas sertificēšana atbilstoši izvēlētajai sistēmai.</w:t>
            </w:r>
          </w:p>
        </w:tc>
      </w:tr>
      <w:tr w:rsidR="00B438DD" w:rsidRPr="007B520A" w14:paraId="09E415EC" w14:textId="77777777" w:rsidTr="00F6138F">
        <w:trPr>
          <w:cantSplit/>
        </w:trPr>
        <w:tc>
          <w:tcPr>
            <w:tcW w:w="645" w:type="dxa"/>
          </w:tcPr>
          <w:p w14:paraId="187F2F0D" w14:textId="79BF5B90" w:rsidR="00B438DD" w:rsidRDefault="00440F25" w:rsidP="00AB59BD">
            <w:pPr>
              <w:jc w:val="center"/>
            </w:pPr>
            <w:r>
              <w:t>6.</w:t>
            </w:r>
          </w:p>
        </w:tc>
        <w:tc>
          <w:tcPr>
            <w:tcW w:w="6754" w:type="dxa"/>
          </w:tcPr>
          <w:p w14:paraId="623CBDFE" w14:textId="2DEAEFDC" w:rsidR="00B438DD" w:rsidRPr="00007F85" w:rsidRDefault="00B438DD" w:rsidP="00007F85">
            <w:pPr>
              <w:autoSpaceDE w:val="0"/>
              <w:autoSpaceDN w:val="0"/>
              <w:jc w:val="both"/>
              <w:rPr>
                <w:color w:val="000000"/>
              </w:rPr>
            </w:pPr>
            <w:r w:rsidRPr="00B438DD">
              <w:rPr>
                <w:color w:val="000000"/>
              </w:rPr>
              <w:t>Par neatkarīgo ekspertu ēku energosertifikāta izsniegšanā. Būtu nepieciešams definēt prasību ekspertam – vai sertificēts ar LSGŪTIS sertifikātu EA2-00….?</w:t>
            </w:r>
          </w:p>
        </w:tc>
        <w:tc>
          <w:tcPr>
            <w:tcW w:w="7227" w:type="dxa"/>
          </w:tcPr>
          <w:p w14:paraId="4F51A2EC" w14:textId="2E04752B" w:rsidR="00B438DD" w:rsidRPr="00007F85" w:rsidRDefault="00B438DD" w:rsidP="0072252D">
            <w:pPr>
              <w:jc w:val="both"/>
              <w:rPr>
                <w:rFonts w:eastAsiaTheme="minorHAnsi"/>
              </w:rPr>
            </w:pPr>
            <w:r>
              <w:rPr>
                <w:rFonts w:eastAsiaTheme="minorHAnsi"/>
              </w:rPr>
              <w:t>Prasības n</w:t>
            </w:r>
            <w:r w:rsidRPr="00B438DD">
              <w:rPr>
                <w:rFonts w:eastAsiaTheme="minorHAnsi"/>
              </w:rPr>
              <w:t>eatkarīg</w:t>
            </w:r>
            <w:r>
              <w:rPr>
                <w:rFonts w:eastAsiaTheme="minorHAnsi"/>
              </w:rPr>
              <w:t>iem</w:t>
            </w:r>
            <w:r w:rsidRPr="00B438DD">
              <w:rPr>
                <w:rFonts w:eastAsiaTheme="minorHAnsi"/>
              </w:rPr>
              <w:t xml:space="preserve"> ekspert</w:t>
            </w:r>
            <w:r>
              <w:rPr>
                <w:rFonts w:eastAsiaTheme="minorHAnsi"/>
              </w:rPr>
              <w:t>iem</w:t>
            </w:r>
            <w:r w:rsidRPr="00B438DD">
              <w:rPr>
                <w:rFonts w:eastAsiaTheme="minorHAnsi"/>
              </w:rPr>
              <w:t xml:space="preserve"> ēku energoefektivitātes jomā </w:t>
            </w:r>
            <w:r w:rsidRPr="002B62C3">
              <w:rPr>
                <w:rFonts w:eastAsiaTheme="minorHAnsi"/>
              </w:rPr>
              <w:t>ir noteiktas Ministru kabineta 201</w:t>
            </w:r>
            <w:r w:rsidR="0072252D">
              <w:rPr>
                <w:rFonts w:eastAsiaTheme="minorHAnsi"/>
              </w:rPr>
              <w:t>3</w:t>
            </w:r>
            <w:r w:rsidRPr="002B62C3">
              <w:rPr>
                <w:rFonts w:eastAsiaTheme="minorHAnsi"/>
              </w:rPr>
              <w:t xml:space="preserve">. gada </w:t>
            </w:r>
            <w:r w:rsidR="0072252D">
              <w:rPr>
                <w:rFonts w:eastAsiaTheme="minorHAnsi"/>
              </w:rPr>
              <w:t>9</w:t>
            </w:r>
            <w:r w:rsidRPr="002B62C3">
              <w:rPr>
                <w:rFonts w:eastAsiaTheme="minorHAnsi"/>
              </w:rPr>
              <w:t xml:space="preserve">. </w:t>
            </w:r>
            <w:r w:rsidR="0072252D">
              <w:rPr>
                <w:rFonts w:eastAsiaTheme="minorHAnsi"/>
              </w:rPr>
              <w:t>jūlija</w:t>
            </w:r>
            <w:r w:rsidR="0072252D" w:rsidRPr="002B62C3">
              <w:rPr>
                <w:rFonts w:eastAsiaTheme="minorHAnsi"/>
              </w:rPr>
              <w:t xml:space="preserve"> </w:t>
            </w:r>
            <w:r w:rsidRPr="002B62C3">
              <w:rPr>
                <w:rFonts w:eastAsiaTheme="minorHAnsi"/>
              </w:rPr>
              <w:t xml:space="preserve">noteikumos Nr. </w:t>
            </w:r>
            <w:r w:rsidR="0072252D">
              <w:rPr>
                <w:rFonts w:eastAsiaTheme="minorHAnsi"/>
              </w:rPr>
              <w:t>382</w:t>
            </w:r>
            <w:r w:rsidR="0072252D" w:rsidRPr="002B62C3">
              <w:rPr>
                <w:rFonts w:eastAsiaTheme="minorHAnsi"/>
              </w:rPr>
              <w:t xml:space="preserve"> </w:t>
            </w:r>
            <w:r w:rsidR="00D11F48" w:rsidRPr="002B62C3">
              <w:rPr>
                <w:rFonts w:eastAsiaTheme="minorHAnsi"/>
              </w:rPr>
              <w:t>“</w:t>
            </w:r>
            <w:r w:rsidR="0072252D" w:rsidRPr="002B62C3">
              <w:rPr>
                <w:rFonts w:eastAsiaTheme="minorHAnsi"/>
              </w:rPr>
              <w:t>Noteikumi par neatkarīgiem ekspertiem ēku energoefektivitātes jomā</w:t>
            </w:r>
            <w:r w:rsidR="00D11F48" w:rsidRPr="002B62C3">
              <w:rPr>
                <w:rFonts w:eastAsiaTheme="minorHAnsi"/>
              </w:rPr>
              <w:t>”</w:t>
            </w:r>
            <w:r>
              <w:rPr>
                <w:rFonts w:eastAsiaTheme="minorHAnsi"/>
              </w:rPr>
              <w:t xml:space="preserve">, kas izriet no </w:t>
            </w:r>
            <w:r w:rsidR="00D11F48">
              <w:rPr>
                <w:rFonts w:eastAsiaTheme="minorHAnsi"/>
              </w:rPr>
              <w:t xml:space="preserve">Ēku </w:t>
            </w:r>
            <w:r>
              <w:rPr>
                <w:rFonts w:eastAsiaTheme="minorHAnsi"/>
              </w:rPr>
              <w:t>energoefektivitātes likuma. Aktuālais n</w:t>
            </w:r>
            <w:r w:rsidRPr="00B438DD">
              <w:rPr>
                <w:rFonts w:eastAsiaTheme="minorHAnsi"/>
              </w:rPr>
              <w:t>eatkarīgo ekspertu ēku energoefektivitātes jomā reģistrs</w:t>
            </w:r>
            <w:r>
              <w:rPr>
                <w:rFonts w:eastAsiaTheme="minorHAnsi"/>
              </w:rPr>
              <w:t xml:space="preserve"> ir publicēts Ekonomikas ministrijas tīmekļa vietnē: </w:t>
            </w:r>
            <w:hyperlink r:id="rId10" w:history="1">
              <w:r w:rsidRPr="004F73E8">
                <w:rPr>
                  <w:rStyle w:val="Hyperlink"/>
                  <w:rFonts w:eastAsiaTheme="minorHAnsi"/>
                </w:rPr>
                <w:t>https://www.em.gov.lv/lv/nozares_politika/majokli/eku_energoefektivitate/neatkarigo_ekspertu_eku_energoefektivitates_joma_registrs/</w:t>
              </w:r>
            </w:hyperlink>
            <w:r>
              <w:rPr>
                <w:rFonts w:eastAsiaTheme="minorHAnsi"/>
              </w:rPr>
              <w:t xml:space="preserve"> </w:t>
            </w:r>
          </w:p>
        </w:tc>
      </w:tr>
      <w:tr w:rsidR="00B438DD" w:rsidRPr="007B520A" w14:paraId="3AE9981D" w14:textId="77777777" w:rsidTr="00F6138F">
        <w:trPr>
          <w:cantSplit/>
        </w:trPr>
        <w:tc>
          <w:tcPr>
            <w:tcW w:w="645" w:type="dxa"/>
          </w:tcPr>
          <w:p w14:paraId="0E29BE94" w14:textId="3D28A816" w:rsidR="00B438DD" w:rsidRDefault="00440F25" w:rsidP="00AB59BD">
            <w:pPr>
              <w:jc w:val="center"/>
            </w:pPr>
            <w:r>
              <w:t>7.</w:t>
            </w:r>
          </w:p>
        </w:tc>
        <w:tc>
          <w:tcPr>
            <w:tcW w:w="6754" w:type="dxa"/>
          </w:tcPr>
          <w:p w14:paraId="7280DDF3" w14:textId="7FBAD409" w:rsidR="00B438DD" w:rsidRPr="00007F85" w:rsidRDefault="00B438DD" w:rsidP="00007F85">
            <w:pPr>
              <w:autoSpaceDE w:val="0"/>
              <w:autoSpaceDN w:val="0"/>
              <w:jc w:val="both"/>
              <w:rPr>
                <w:color w:val="000000"/>
              </w:rPr>
            </w:pPr>
            <w:r w:rsidRPr="00B438DD">
              <w:rPr>
                <w:color w:val="000000"/>
              </w:rPr>
              <w:t>“3.1.</w:t>
            </w:r>
            <w:r w:rsidR="006600FD">
              <w:rPr>
                <w:color w:val="000000"/>
              </w:rPr>
              <w:t xml:space="preserve"> </w:t>
            </w:r>
            <w:r w:rsidRPr="00B438DD">
              <w:rPr>
                <w:color w:val="000000"/>
              </w:rPr>
              <w:t>Projekta ieviešana un vadības kapacitāte”. Vai būtu pieņemami, ja netiek minētas personālijas tā vietā pievienojot tikai pozīcijas un pozīciju kritērijus/kvalifikācijas? Projektu vadība saskaņā ar MK noteikumiem Nr.</w:t>
            </w:r>
            <w:r w:rsidR="006600FD">
              <w:rPr>
                <w:color w:val="000000"/>
              </w:rPr>
              <w:t> </w:t>
            </w:r>
            <w:r w:rsidRPr="00B438DD">
              <w:rPr>
                <w:color w:val="000000"/>
              </w:rPr>
              <w:t>418 nav attiecināmā izmaksa, pie tam projekta laikā atbildīgās un iesaistītās personas var mainīties.</w:t>
            </w:r>
          </w:p>
        </w:tc>
        <w:tc>
          <w:tcPr>
            <w:tcW w:w="7227" w:type="dxa"/>
          </w:tcPr>
          <w:p w14:paraId="010ACA15" w14:textId="5DC5A62C" w:rsidR="006600FD" w:rsidRDefault="00B438DD" w:rsidP="00B438DD">
            <w:pPr>
              <w:autoSpaceDE w:val="0"/>
              <w:autoSpaceDN w:val="0"/>
              <w:jc w:val="both"/>
              <w:rPr>
                <w:rFonts w:eastAsiaTheme="minorHAnsi"/>
              </w:rPr>
            </w:pPr>
            <w:r w:rsidRPr="00357556">
              <w:rPr>
                <w:rFonts w:eastAsiaTheme="minorHAnsi"/>
              </w:rPr>
              <w:t>M</w:t>
            </w:r>
            <w:r>
              <w:rPr>
                <w:rFonts w:eastAsiaTheme="minorHAnsi"/>
              </w:rPr>
              <w:t>K noteikumu Nr. 418 3. pielikuma</w:t>
            </w:r>
            <w:r w:rsidRPr="00357556">
              <w:rPr>
                <w:rFonts w:eastAsiaTheme="minorHAnsi"/>
              </w:rPr>
              <w:t xml:space="preserve"> </w:t>
            </w:r>
            <w:r>
              <w:rPr>
                <w:rFonts w:eastAsiaTheme="minorHAnsi"/>
              </w:rPr>
              <w:t>3.1. sadaļā</w:t>
            </w:r>
            <w:r w:rsidR="00D11F48">
              <w:rPr>
                <w:rFonts w:eastAsiaTheme="minorHAnsi"/>
              </w:rPr>
              <w:t xml:space="preserve"> “Projekta ieviešanas un vadības kapacitāte”</w:t>
            </w:r>
            <w:r>
              <w:rPr>
                <w:rFonts w:eastAsiaTheme="minorHAnsi"/>
              </w:rPr>
              <w:t xml:space="preserve"> ir jāsniedz informācija par</w:t>
            </w:r>
            <w:r w:rsidRPr="00B438DD">
              <w:rPr>
                <w:rFonts w:eastAsiaTheme="minorHAnsi"/>
              </w:rPr>
              <w:t xml:space="preserve"> projekta iesniedzēja pieredzi līdzīga mēroga un specifikas projektu vadīšanā</w:t>
            </w:r>
            <w:r w:rsidRPr="00357556">
              <w:rPr>
                <w:rFonts w:eastAsiaTheme="minorHAnsi"/>
              </w:rPr>
              <w:t>.</w:t>
            </w:r>
            <w:r>
              <w:rPr>
                <w:rFonts w:eastAsiaTheme="minorHAnsi"/>
              </w:rPr>
              <w:t xml:space="preserve"> </w:t>
            </w:r>
            <w:r w:rsidR="006600FD" w:rsidRPr="006600FD">
              <w:rPr>
                <w:rFonts w:eastAsiaTheme="minorHAnsi"/>
                <w:b/>
              </w:rPr>
              <w:t>Var nenorādīt konkrēto darbinieku vārdu un uzvārdu</w:t>
            </w:r>
            <w:r w:rsidR="006600FD">
              <w:rPr>
                <w:rFonts w:eastAsiaTheme="minorHAnsi"/>
              </w:rPr>
              <w:t xml:space="preserve">, bet gan tikai amatu un pieredzi. </w:t>
            </w:r>
          </w:p>
          <w:p w14:paraId="54CF973B" w14:textId="41FCA90F" w:rsidR="00B438DD" w:rsidRPr="00007F85" w:rsidRDefault="006600FD" w:rsidP="006600FD">
            <w:pPr>
              <w:autoSpaceDE w:val="0"/>
              <w:autoSpaceDN w:val="0"/>
              <w:jc w:val="both"/>
              <w:rPr>
                <w:rFonts w:eastAsiaTheme="minorHAnsi"/>
              </w:rPr>
            </w:pPr>
            <w:r>
              <w:rPr>
                <w:rFonts w:eastAsiaTheme="minorHAnsi"/>
              </w:rPr>
              <w:t>Vēršam uzmanību, ka bieža atbildīgo un iesaistīto personu maiņa ir uzskatāms par p</w:t>
            </w:r>
            <w:r w:rsidRPr="006600FD">
              <w:rPr>
                <w:rFonts w:eastAsiaTheme="minorHAnsi"/>
              </w:rPr>
              <w:t>rojekta ieviešana</w:t>
            </w:r>
            <w:r>
              <w:rPr>
                <w:rFonts w:eastAsiaTheme="minorHAnsi"/>
              </w:rPr>
              <w:t>s</w:t>
            </w:r>
            <w:r w:rsidRPr="006600FD">
              <w:rPr>
                <w:rFonts w:eastAsiaTheme="minorHAnsi"/>
              </w:rPr>
              <w:t xml:space="preserve"> un vadības kapacitāte</w:t>
            </w:r>
            <w:r>
              <w:rPr>
                <w:rFonts w:eastAsiaTheme="minorHAnsi"/>
              </w:rPr>
              <w:t>s risku un ir jānorāda pasākumi minētā riska mazināšanai</w:t>
            </w:r>
            <w:r w:rsidR="002F58DB">
              <w:rPr>
                <w:rFonts w:eastAsiaTheme="minorHAnsi"/>
              </w:rPr>
              <w:t xml:space="preserve"> (projekta iesnieguma veidlapas 3.2. un 3.3. sadaļa)</w:t>
            </w:r>
            <w:r>
              <w:rPr>
                <w:rFonts w:eastAsiaTheme="minorHAnsi"/>
              </w:rPr>
              <w:t>.</w:t>
            </w:r>
          </w:p>
        </w:tc>
      </w:tr>
      <w:tr w:rsidR="00B438DD" w:rsidRPr="007B520A" w14:paraId="6FC40D05" w14:textId="77777777" w:rsidTr="00F6138F">
        <w:trPr>
          <w:cantSplit/>
        </w:trPr>
        <w:tc>
          <w:tcPr>
            <w:tcW w:w="645" w:type="dxa"/>
          </w:tcPr>
          <w:p w14:paraId="2569F0A1" w14:textId="5BC528BC" w:rsidR="00B438DD" w:rsidRDefault="00440F25" w:rsidP="00AB59BD">
            <w:pPr>
              <w:jc w:val="center"/>
            </w:pPr>
            <w:r>
              <w:lastRenderedPageBreak/>
              <w:t>8.</w:t>
            </w:r>
          </w:p>
        </w:tc>
        <w:tc>
          <w:tcPr>
            <w:tcW w:w="6754" w:type="dxa"/>
          </w:tcPr>
          <w:p w14:paraId="6C41053C" w14:textId="3F36277B" w:rsidR="00B438DD" w:rsidRPr="00007F85" w:rsidRDefault="00B438DD" w:rsidP="00007F85">
            <w:pPr>
              <w:autoSpaceDE w:val="0"/>
              <w:autoSpaceDN w:val="0"/>
              <w:jc w:val="both"/>
              <w:rPr>
                <w:color w:val="000000"/>
              </w:rPr>
            </w:pPr>
            <w:r w:rsidRPr="00B438DD">
              <w:rPr>
                <w:color w:val="000000"/>
              </w:rPr>
              <w:t>Vadlīniju 24 lpp lūdzu informēt, kuri ir nozares attīstības plānošanas dokumenti, kuru prioritātēm jāizvērtē Projekta atbilstība (16.</w:t>
            </w:r>
            <w:r w:rsidR="006600FD">
              <w:rPr>
                <w:color w:val="000000"/>
              </w:rPr>
              <w:t xml:space="preserve"> </w:t>
            </w:r>
            <w:r w:rsidRPr="00B438DD">
              <w:rPr>
                <w:color w:val="000000"/>
              </w:rPr>
              <w:t>kritērijs) – valsts vai pašvaldības līmeņa?</w:t>
            </w:r>
          </w:p>
        </w:tc>
        <w:tc>
          <w:tcPr>
            <w:tcW w:w="7227" w:type="dxa"/>
          </w:tcPr>
          <w:p w14:paraId="1858E9A0" w14:textId="79AB64DB" w:rsidR="006600FD" w:rsidRDefault="006600FD" w:rsidP="006600FD">
            <w:pPr>
              <w:autoSpaceDE w:val="0"/>
              <w:autoSpaceDN w:val="0"/>
              <w:jc w:val="both"/>
              <w:rPr>
                <w:rFonts w:eastAsiaTheme="minorHAnsi"/>
              </w:rPr>
            </w:pPr>
            <w:r w:rsidRPr="00357556">
              <w:rPr>
                <w:rFonts w:eastAsiaTheme="minorHAnsi"/>
              </w:rPr>
              <w:t>M</w:t>
            </w:r>
            <w:r>
              <w:rPr>
                <w:rFonts w:eastAsiaTheme="minorHAnsi"/>
              </w:rPr>
              <w:t>K noteikumu Nr. 418 5. pielikuma</w:t>
            </w:r>
            <w:r w:rsidRPr="00357556">
              <w:rPr>
                <w:rFonts w:eastAsiaTheme="minorHAnsi"/>
              </w:rPr>
              <w:t xml:space="preserve"> </w:t>
            </w:r>
            <w:r>
              <w:rPr>
                <w:rFonts w:eastAsiaTheme="minorHAnsi"/>
              </w:rPr>
              <w:t>16</w:t>
            </w:r>
            <w:r w:rsidRPr="00357556">
              <w:rPr>
                <w:rFonts w:eastAsiaTheme="minorHAnsi"/>
              </w:rPr>
              <w:t xml:space="preserve">. kritērijā </w:t>
            </w:r>
            <w:r w:rsidR="00246694">
              <w:rPr>
                <w:rFonts w:eastAsiaTheme="minorHAnsi"/>
              </w:rPr>
              <w:t xml:space="preserve">projekta iesniedzējs </w:t>
            </w:r>
            <w:r w:rsidRPr="00357556">
              <w:rPr>
                <w:rFonts w:eastAsiaTheme="minorHAnsi"/>
              </w:rPr>
              <w:t xml:space="preserve">maksimālo punktu skaitu saņems, ja </w:t>
            </w:r>
            <w:r w:rsidRPr="006600FD">
              <w:rPr>
                <w:rFonts w:eastAsiaTheme="minorHAnsi"/>
              </w:rPr>
              <w:t xml:space="preserve">projekts atbilst attiecīgajos </w:t>
            </w:r>
            <w:r w:rsidRPr="00246694">
              <w:rPr>
                <w:rFonts w:eastAsiaTheme="minorHAnsi"/>
              </w:rPr>
              <w:t>pašvaldības teritorijas attīstības plānošanas dokumentos</w:t>
            </w:r>
            <w:r w:rsidRPr="006600FD">
              <w:rPr>
                <w:rFonts w:eastAsiaTheme="minorHAnsi"/>
              </w:rPr>
              <w:t xml:space="preserve"> noteiktajām prioritātēm </w:t>
            </w:r>
            <w:r w:rsidRPr="006600FD">
              <w:rPr>
                <w:rFonts w:eastAsiaTheme="minorHAnsi"/>
                <w:b/>
              </w:rPr>
              <w:t>vai</w:t>
            </w:r>
            <w:r w:rsidRPr="006600FD">
              <w:rPr>
                <w:rFonts w:eastAsiaTheme="minorHAnsi"/>
              </w:rPr>
              <w:t xml:space="preserve"> attiecīgajos nozares apstiprinātajos attīstības plānošanas dokumentos noteiktajām prioritātēm</w:t>
            </w:r>
            <w:r>
              <w:rPr>
                <w:rFonts w:eastAsiaTheme="minorHAnsi"/>
              </w:rPr>
              <w:t xml:space="preserve">. </w:t>
            </w:r>
          </w:p>
          <w:p w14:paraId="1572CA35" w14:textId="1118739D" w:rsidR="00B438DD" w:rsidRPr="00007F85" w:rsidRDefault="006600FD" w:rsidP="00E12779">
            <w:pPr>
              <w:autoSpaceDE w:val="0"/>
              <w:autoSpaceDN w:val="0"/>
              <w:jc w:val="both"/>
              <w:rPr>
                <w:rFonts w:eastAsiaTheme="minorHAnsi"/>
              </w:rPr>
            </w:pPr>
            <w:r>
              <w:rPr>
                <w:rFonts w:eastAsiaTheme="minorHAnsi"/>
              </w:rPr>
              <w:t xml:space="preserve">Projekta iesniedzējs var izvēlēties </w:t>
            </w:r>
            <w:r w:rsidR="00246694">
              <w:rPr>
                <w:rFonts w:eastAsiaTheme="minorHAnsi"/>
              </w:rPr>
              <w:t xml:space="preserve">uz </w:t>
            </w:r>
            <w:r>
              <w:rPr>
                <w:rFonts w:eastAsiaTheme="minorHAnsi"/>
              </w:rPr>
              <w:t xml:space="preserve">kāda līmeņa dokumentu </w:t>
            </w:r>
            <w:r w:rsidR="00246694">
              <w:rPr>
                <w:rFonts w:eastAsiaTheme="minorHAnsi"/>
              </w:rPr>
              <w:t xml:space="preserve">sniegt atsauci </w:t>
            </w:r>
            <w:r>
              <w:rPr>
                <w:rFonts w:eastAsiaTheme="minorHAnsi"/>
              </w:rPr>
              <w:t xml:space="preserve">un maksimālo punktu skaitu saņems arī tad, ja </w:t>
            </w:r>
            <w:r w:rsidRPr="006600FD">
              <w:rPr>
                <w:rFonts w:eastAsiaTheme="minorHAnsi"/>
              </w:rPr>
              <w:t xml:space="preserve">projekts atbilst </w:t>
            </w:r>
            <w:r w:rsidRPr="006600FD">
              <w:rPr>
                <w:rFonts w:eastAsiaTheme="minorHAnsi"/>
                <w:b/>
              </w:rPr>
              <w:t>gan</w:t>
            </w:r>
            <w:r>
              <w:rPr>
                <w:rFonts w:eastAsiaTheme="minorHAnsi"/>
              </w:rPr>
              <w:t xml:space="preserve"> </w:t>
            </w:r>
            <w:r w:rsidRPr="006600FD">
              <w:rPr>
                <w:rFonts w:eastAsiaTheme="minorHAnsi"/>
              </w:rPr>
              <w:t>attiecīgajos pašvaldības teritorijas attīstības plānošanas dokumentos noteiktajām prioritātēm</w:t>
            </w:r>
            <w:r w:rsidR="00246694">
              <w:rPr>
                <w:rFonts w:eastAsiaTheme="minorHAnsi"/>
              </w:rPr>
              <w:t>,</w:t>
            </w:r>
            <w:r w:rsidRPr="006600FD">
              <w:rPr>
                <w:rFonts w:eastAsiaTheme="minorHAnsi"/>
              </w:rPr>
              <w:t xml:space="preserve"> </w:t>
            </w:r>
            <w:r>
              <w:rPr>
                <w:rFonts w:eastAsiaTheme="minorHAnsi"/>
                <w:b/>
              </w:rPr>
              <w:t>gan</w:t>
            </w:r>
            <w:r w:rsidRPr="006600FD">
              <w:rPr>
                <w:rFonts w:eastAsiaTheme="minorHAnsi"/>
              </w:rPr>
              <w:t xml:space="preserve"> attiecīgajos nozares apstiprinātajos attīstības plānošanas dokumentos noteiktajām prioritātēm</w:t>
            </w:r>
            <w:r>
              <w:rPr>
                <w:rFonts w:eastAsiaTheme="minorHAnsi"/>
              </w:rPr>
              <w:t>.</w:t>
            </w:r>
            <w:r w:rsidR="00246694">
              <w:rPr>
                <w:rFonts w:eastAsiaTheme="minorHAnsi"/>
              </w:rPr>
              <w:t xml:space="preserve"> Attiecīgā plānošanas dokumenta identificēšana ir projekta iesniedzēja pienākums </w:t>
            </w:r>
            <w:r w:rsidR="0000752D">
              <w:rPr>
                <w:rFonts w:eastAsiaTheme="minorHAnsi"/>
              </w:rPr>
              <w:t>atb</w:t>
            </w:r>
            <w:r w:rsidR="00E12779">
              <w:rPr>
                <w:rFonts w:eastAsiaTheme="minorHAnsi"/>
              </w:rPr>
              <w:t>il</w:t>
            </w:r>
            <w:r w:rsidR="0000752D">
              <w:rPr>
                <w:rFonts w:eastAsiaTheme="minorHAnsi"/>
              </w:rPr>
              <w:t>stoši</w:t>
            </w:r>
            <w:r w:rsidR="00246694">
              <w:rPr>
                <w:rFonts w:eastAsiaTheme="minorHAnsi"/>
              </w:rPr>
              <w:t xml:space="preserve"> </w:t>
            </w:r>
            <w:r w:rsidR="0000752D">
              <w:rPr>
                <w:rFonts w:eastAsiaTheme="minorHAnsi"/>
              </w:rPr>
              <w:t>projekta mērķim un aktivitātēm.</w:t>
            </w:r>
          </w:p>
        </w:tc>
      </w:tr>
      <w:tr w:rsidR="00B438DD" w:rsidRPr="007B520A" w14:paraId="27B9B55D" w14:textId="77777777" w:rsidTr="00F6138F">
        <w:trPr>
          <w:cantSplit/>
        </w:trPr>
        <w:tc>
          <w:tcPr>
            <w:tcW w:w="645" w:type="dxa"/>
          </w:tcPr>
          <w:p w14:paraId="4F347ABE" w14:textId="35B89ED9" w:rsidR="00B438DD" w:rsidRDefault="00440F25" w:rsidP="00AB59BD">
            <w:pPr>
              <w:jc w:val="center"/>
            </w:pPr>
            <w:r>
              <w:t>9.</w:t>
            </w:r>
          </w:p>
        </w:tc>
        <w:tc>
          <w:tcPr>
            <w:tcW w:w="6754" w:type="dxa"/>
          </w:tcPr>
          <w:p w14:paraId="2B55A384" w14:textId="2A41C45B" w:rsidR="00B438DD" w:rsidRPr="00007F85" w:rsidRDefault="00B438DD" w:rsidP="00007F85">
            <w:pPr>
              <w:autoSpaceDE w:val="0"/>
              <w:autoSpaceDN w:val="0"/>
              <w:jc w:val="both"/>
              <w:rPr>
                <w:color w:val="000000"/>
              </w:rPr>
            </w:pPr>
            <w:r w:rsidRPr="00B438DD">
              <w:rPr>
                <w:color w:val="000000"/>
              </w:rPr>
              <w:t>Šī paša konkursa MK noteikumos, 5 pielikums 19. kritērijs nosaka, ka projektu plānots īstenot, lietojot kādu no starptautiskās ilgtspējīgas būvniecības kvalitātes vērtēšanas sistēmām. Savukārt Projekta pieteikuma vadlīnijās Nr.</w:t>
            </w:r>
            <w:r w:rsidR="001D3EDE">
              <w:rPr>
                <w:color w:val="000000"/>
              </w:rPr>
              <w:t xml:space="preserve"> </w:t>
            </w:r>
            <w:r w:rsidRPr="00B438DD">
              <w:rPr>
                <w:color w:val="000000"/>
              </w:rPr>
              <w:t>2.6 ir minēts, ka pēc projekta ir plānots jaunbūvi sertificēt atbilstoši kādai no starptautiskās ilgtspējīgas būvniecības kvalitātes vērtēšanas sistēmām. Vēlamies saņemt apliecinājumu, ka primāri tiks vērtēti MK kritērijs, bet būves sertificēšana nav obligāts nosacījums, jo to var realizēt piemēram 1.</w:t>
            </w:r>
            <w:r w:rsidR="001D3EDE">
              <w:rPr>
                <w:color w:val="000000"/>
              </w:rPr>
              <w:t xml:space="preserve"> </w:t>
            </w:r>
            <w:r w:rsidRPr="00B438DD">
              <w:rPr>
                <w:color w:val="000000"/>
              </w:rPr>
              <w:t>gadu pēc būves nodošanas ekspluatācijā.</w:t>
            </w:r>
          </w:p>
        </w:tc>
        <w:tc>
          <w:tcPr>
            <w:tcW w:w="7227" w:type="dxa"/>
          </w:tcPr>
          <w:p w14:paraId="7C4CA0E6" w14:textId="34A5AA2C" w:rsidR="001D3EDE" w:rsidRDefault="001D3EDE" w:rsidP="001D3EDE">
            <w:pPr>
              <w:autoSpaceDE w:val="0"/>
              <w:autoSpaceDN w:val="0"/>
              <w:jc w:val="both"/>
              <w:rPr>
                <w:rFonts w:eastAsiaTheme="minorHAnsi"/>
              </w:rPr>
            </w:pPr>
            <w:r w:rsidRPr="00357556">
              <w:rPr>
                <w:rFonts w:eastAsiaTheme="minorHAnsi"/>
              </w:rPr>
              <w:t>M</w:t>
            </w:r>
            <w:r>
              <w:rPr>
                <w:rFonts w:eastAsiaTheme="minorHAnsi"/>
              </w:rPr>
              <w:t>K noteikumu Nr. 418 5. pielikuma</w:t>
            </w:r>
            <w:r w:rsidRPr="00357556">
              <w:rPr>
                <w:rFonts w:eastAsiaTheme="minorHAnsi"/>
              </w:rPr>
              <w:t xml:space="preserve"> </w:t>
            </w:r>
            <w:r>
              <w:rPr>
                <w:rFonts w:eastAsiaTheme="minorHAnsi"/>
              </w:rPr>
              <w:t>19</w:t>
            </w:r>
            <w:r w:rsidRPr="00357556">
              <w:rPr>
                <w:rFonts w:eastAsiaTheme="minorHAnsi"/>
              </w:rPr>
              <w:t xml:space="preserve">. kritērijā </w:t>
            </w:r>
            <w:r w:rsidR="006C028A">
              <w:rPr>
                <w:rFonts w:eastAsiaTheme="minorHAnsi"/>
              </w:rPr>
              <w:t xml:space="preserve">projekta iesniedzējs </w:t>
            </w:r>
            <w:r w:rsidRPr="00357556">
              <w:rPr>
                <w:rFonts w:eastAsiaTheme="minorHAnsi"/>
              </w:rPr>
              <w:t xml:space="preserve">maksimālo punktu skaitu saņems, ja </w:t>
            </w:r>
            <w:r w:rsidRPr="001D3EDE">
              <w:rPr>
                <w:rFonts w:eastAsiaTheme="minorHAnsi"/>
              </w:rPr>
              <w:t>projektu plānots īstenot, lietojot kādu no starptautiskās ilgtspējīgas būvniecības kvalitātes vērtēšanas sistēmām</w:t>
            </w:r>
            <w:r>
              <w:rPr>
                <w:rFonts w:eastAsiaTheme="minorHAnsi"/>
              </w:rPr>
              <w:t xml:space="preserve">. </w:t>
            </w:r>
          </w:p>
          <w:p w14:paraId="0F6EC64A" w14:textId="79D766C9" w:rsidR="00B438DD" w:rsidRPr="00007F85" w:rsidRDefault="001D3EDE" w:rsidP="002B62C3">
            <w:pPr>
              <w:autoSpaceDE w:val="0"/>
              <w:autoSpaceDN w:val="0"/>
              <w:jc w:val="both"/>
              <w:rPr>
                <w:rFonts w:eastAsiaTheme="minorHAnsi"/>
              </w:rPr>
            </w:pPr>
            <w:r>
              <w:rPr>
                <w:rFonts w:eastAsiaTheme="minorHAnsi"/>
              </w:rPr>
              <w:t>Vadlīnijās</w:t>
            </w:r>
            <w:r w:rsidR="00135837">
              <w:rPr>
                <w:rFonts w:eastAsiaTheme="minorHAnsi"/>
              </w:rPr>
              <w:t xml:space="preserve"> projektu iesniedzējiem</w:t>
            </w:r>
            <w:r>
              <w:rPr>
                <w:rFonts w:eastAsiaTheme="minorHAnsi"/>
              </w:rPr>
              <w:t xml:space="preserve"> ir minēts piemērs minētā kritērija izpildei un būves sertificēšana nav obligāta prasība</w:t>
            </w:r>
            <w:r w:rsidR="00135837">
              <w:rPr>
                <w:rFonts w:eastAsiaTheme="minorHAnsi"/>
              </w:rPr>
              <w:t xml:space="preserve"> </w:t>
            </w:r>
            <w:r w:rsidR="00135837" w:rsidRPr="00B462F6">
              <w:rPr>
                <w:color w:val="414142"/>
                <w:shd w:val="clear" w:color="auto" w:fill="FFFFFF"/>
              </w:rPr>
              <w:t>projekta īstenošanas perioda ietvaros</w:t>
            </w:r>
            <w:r w:rsidR="00B462F6">
              <w:rPr>
                <w:color w:val="414142"/>
                <w:shd w:val="clear" w:color="auto" w:fill="FFFFFF"/>
              </w:rPr>
              <w:t>, bet tā ir jāveic līdz projekta rezultātu monitoringa perioda beigām</w:t>
            </w:r>
            <w:r w:rsidR="00135837" w:rsidRPr="00135837">
              <w:rPr>
                <w:rFonts w:eastAsiaTheme="minorHAnsi"/>
              </w:rPr>
              <w:t>.</w:t>
            </w:r>
          </w:p>
        </w:tc>
      </w:tr>
      <w:tr w:rsidR="00B438DD" w:rsidRPr="007B520A" w14:paraId="4513F428" w14:textId="77777777" w:rsidTr="00F6138F">
        <w:trPr>
          <w:cantSplit/>
        </w:trPr>
        <w:tc>
          <w:tcPr>
            <w:tcW w:w="645" w:type="dxa"/>
          </w:tcPr>
          <w:p w14:paraId="59286148" w14:textId="06B2A98D" w:rsidR="00B438DD" w:rsidRDefault="00440F25" w:rsidP="00AB59BD">
            <w:pPr>
              <w:jc w:val="center"/>
            </w:pPr>
            <w:r>
              <w:t>10.</w:t>
            </w:r>
          </w:p>
        </w:tc>
        <w:tc>
          <w:tcPr>
            <w:tcW w:w="6754" w:type="dxa"/>
          </w:tcPr>
          <w:p w14:paraId="7D28FBA1" w14:textId="4D91BCA6" w:rsidR="00B438DD" w:rsidRPr="00007F85" w:rsidRDefault="00B438DD" w:rsidP="00007F85">
            <w:pPr>
              <w:autoSpaceDE w:val="0"/>
              <w:autoSpaceDN w:val="0"/>
              <w:jc w:val="both"/>
              <w:rPr>
                <w:color w:val="000000"/>
              </w:rPr>
            </w:pPr>
            <w:r w:rsidRPr="00B438DD">
              <w:rPr>
                <w:color w:val="000000"/>
              </w:rPr>
              <w:t>Projekta MK noteikumos un pieteikuma vadlīnijās 2.14 un Pielikums Nr.</w:t>
            </w:r>
            <w:r w:rsidR="004A2377">
              <w:rPr>
                <w:color w:val="000000"/>
              </w:rPr>
              <w:t xml:space="preserve"> </w:t>
            </w:r>
            <w:r w:rsidRPr="00B438DD">
              <w:rPr>
                <w:color w:val="000000"/>
              </w:rPr>
              <w:t>3 ir noteikta CO2 aprēķina formula, bet to nav iespējams izmantot, jo tā ir jaunbūve un SEG pirms rādītājus nav iespējams aprēķināt. Lūdzam skaidrot kādu pieeju izmantot jaunbūves gadījumā.</w:t>
            </w:r>
          </w:p>
        </w:tc>
        <w:tc>
          <w:tcPr>
            <w:tcW w:w="7227" w:type="dxa"/>
          </w:tcPr>
          <w:p w14:paraId="284A4A5F" w14:textId="10532419" w:rsidR="00B438DD" w:rsidRPr="00007F85" w:rsidRDefault="004A2377" w:rsidP="004A2377">
            <w:pPr>
              <w:jc w:val="both"/>
              <w:rPr>
                <w:rFonts w:eastAsiaTheme="minorHAnsi"/>
              </w:rPr>
            </w:pPr>
            <w:r w:rsidRPr="00357556">
              <w:rPr>
                <w:rFonts w:eastAsiaTheme="minorHAnsi"/>
              </w:rPr>
              <w:t>M</w:t>
            </w:r>
            <w:r>
              <w:rPr>
                <w:rFonts w:eastAsiaTheme="minorHAnsi"/>
              </w:rPr>
              <w:t>K noteikumu Nr. 418 3. pielikuma</w:t>
            </w:r>
            <w:r w:rsidRPr="00357556">
              <w:rPr>
                <w:rFonts w:eastAsiaTheme="minorHAnsi"/>
              </w:rPr>
              <w:t xml:space="preserve"> </w:t>
            </w:r>
            <w:r>
              <w:rPr>
                <w:rFonts w:eastAsiaTheme="minorHAnsi"/>
              </w:rPr>
              <w:t>2.14. sadaļā ir jānorāda p</w:t>
            </w:r>
            <w:r w:rsidRPr="004A2377">
              <w:rPr>
                <w:rFonts w:eastAsiaTheme="minorHAnsi"/>
              </w:rPr>
              <w:t xml:space="preserve">rojekta ietvaros sasniedzamā </w:t>
            </w:r>
            <w:r w:rsidRPr="004A2377">
              <w:rPr>
                <w:rFonts w:eastAsiaTheme="minorHAnsi"/>
                <w:b/>
              </w:rPr>
              <w:t>potenciālā</w:t>
            </w:r>
            <w:r w:rsidRPr="004A2377">
              <w:rPr>
                <w:rFonts w:eastAsiaTheme="minorHAnsi"/>
              </w:rPr>
              <w:t xml:space="preserve"> CO</w:t>
            </w:r>
            <w:r w:rsidRPr="004A2377">
              <w:rPr>
                <w:rFonts w:eastAsiaTheme="minorHAnsi"/>
                <w:vertAlign w:val="subscript"/>
              </w:rPr>
              <w:t>2</w:t>
            </w:r>
            <w:r w:rsidRPr="004A2377">
              <w:rPr>
                <w:rFonts w:eastAsiaTheme="minorHAnsi"/>
              </w:rPr>
              <w:t xml:space="preserve"> emisijas ierobežojuma pamatojums un aprēķins</w:t>
            </w:r>
            <w:r>
              <w:rPr>
                <w:rFonts w:eastAsiaTheme="minorHAnsi"/>
              </w:rPr>
              <w:t xml:space="preserve">, ko veic ievērojot </w:t>
            </w:r>
            <w:r w:rsidRPr="00357556">
              <w:rPr>
                <w:rFonts w:eastAsiaTheme="minorHAnsi"/>
              </w:rPr>
              <w:t>M</w:t>
            </w:r>
            <w:r>
              <w:rPr>
                <w:rFonts w:eastAsiaTheme="minorHAnsi"/>
              </w:rPr>
              <w:t xml:space="preserve">K noteikumu Nr. 418 1. pielikuma noteiktās aprēķina formulas, kas </w:t>
            </w:r>
            <w:r w:rsidRPr="004A2377">
              <w:rPr>
                <w:rFonts w:eastAsiaTheme="minorHAnsi"/>
                <w:b/>
              </w:rPr>
              <w:t>tieši ir paredzētas jaunbūves gadījumā</w:t>
            </w:r>
            <w:r>
              <w:rPr>
                <w:rFonts w:eastAsiaTheme="minorHAnsi"/>
              </w:rPr>
              <w:t>.</w:t>
            </w:r>
          </w:p>
        </w:tc>
      </w:tr>
      <w:tr w:rsidR="00B438DD" w:rsidRPr="007B520A" w14:paraId="439F2983" w14:textId="77777777" w:rsidTr="00F6138F">
        <w:trPr>
          <w:cantSplit/>
        </w:trPr>
        <w:tc>
          <w:tcPr>
            <w:tcW w:w="645" w:type="dxa"/>
          </w:tcPr>
          <w:p w14:paraId="298A6D9C" w14:textId="0F1F3AFA" w:rsidR="00B438DD" w:rsidRDefault="00440F25" w:rsidP="00AB59BD">
            <w:pPr>
              <w:jc w:val="center"/>
            </w:pPr>
            <w:r>
              <w:t>11.</w:t>
            </w:r>
          </w:p>
        </w:tc>
        <w:tc>
          <w:tcPr>
            <w:tcW w:w="6754" w:type="dxa"/>
          </w:tcPr>
          <w:p w14:paraId="3E9BD3A9" w14:textId="609C9205" w:rsidR="00B438DD" w:rsidRPr="00007F85" w:rsidRDefault="00B438DD" w:rsidP="00007F85">
            <w:pPr>
              <w:autoSpaceDE w:val="0"/>
              <w:autoSpaceDN w:val="0"/>
              <w:jc w:val="both"/>
              <w:rPr>
                <w:color w:val="000000"/>
              </w:rPr>
            </w:pPr>
            <w:r w:rsidRPr="00B438DD">
              <w:rPr>
                <w:color w:val="000000"/>
              </w:rPr>
              <w:t>Lūdzam precizēt 2.22. punktā un 11.</w:t>
            </w:r>
            <w:r w:rsidR="004A2377">
              <w:rPr>
                <w:color w:val="000000"/>
              </w:rPr>
              <w:t xml:space="preserve"> </w:t>
            </w:r>
            <w:r w:rsidRPr="00B438DD">
              <w:rPr>
                <w:color w:val="000000"/>
              </w:rPr>
              <w:t>vērtēšanas kritērijā – “ēkā paredzēts īstenot papildus pasākumus vides pieejamības nodrošināšanai” - kas būtu uzskatāms kā papildus? Atbilstoši spēkā esošajam tiesiskajam regulējumam visām publiskajām jaunbūvēm ir jānodrošina vides pieejamība. Vai papildus jau būvniecības likumdošanā noteiktajām prasībām?</w:t>
            </w:r>
          </w:p>
        </w:tc>
        <w:tc>
          <w:tcPr>
            <w:tcW w:w="7227" w:type="dxa"/>
          </w:tcPr>
          <w:p w14:paraId="7B13DA00" w14:textId="437687A8" w:rsidR="00B438DD" w:rsidRPr="00007F85" w:rsidRDefault="004A2377" w:rsidP="00440F25">
            <w:pPr>
              <w:jc w:val="both"/>
              <w:rPr>
                <w:rFonts w:eastAsiaTheme="minorHAnsi"/>
              </w:rPr>
            </w:pPr>
            <w:r w:rsidRPr="00357556">
              <w:rPr>
                <w:rFonts w:eastAsiaTheme="minorHAnsi"/>
              </w:rPr>
              <w:t>M</w:t>
            </w:r>
            <w:r>
              <w:rPr>
                <w:rFonts w:eastAsiaTheme="minorHAnsi"/>
              </w:rPr>
              <w:t>K noteikumu Nr. 418 5. pielikuma</w:t>
            </w:r>
            <w:r w:rsidRPr="00357556">
              <w:rPr>
                <w:rFonts w:eastAsiaTheme="minorHAnsi"/>
              </w:rPr>
              <w:t xml:space="preserve"> </w:t>
            </w:r>
            <w:r>
              <w:rPr>
                <w:rFonts w:eastAsiaTheme="minorHAnsi"/>
              </w:rPr>
              <w:t>11</w:t>
            </w:r>
            <w:r w:rsidRPr="00357556">
              <w:rPr>
                <w:rFonts w:eastAsiaTheme="minorHAnsi"/>
              </w:rPr>
              <w:t xml:space="preserve">. kritērijā </w:t>
            </w:r>
            <w:r w:rsidR="006C028A">
              <w:rPr>
                <w:rFonts w:eastAsiaTheme="minorHAnsi"/>
              </w:rPr>
              <w:t xml:space="preserve">projekta iesniedzējs </w:t>
            </w:r>
            <w:r w:rsidRPr="00357556">
              <w:rPr>
                <w:rFonts w:eastAsiaTheme="minorHAnsi"/>
              </w:rPr>
              <w:t xml:space="preserve">maksimālo punktu skaitu saņems, ja </w:t>
            </w:r>
            <w:r w:rsidRPr="004A2377">
              <w:rPr>
                <w:rFonts w:eastAsiaTheme="minorHAnsi"/>
              </w:rPr>
              <w:t xml:space="preserve">ēkā paredzēts īstenot </w:t>
            </w:r>
            <w:r w:rsidRPr="004A2377">
              <w:rPr>
                <w:rFonts w:eastAsiaTheme="minorHAnsi"/>
                <w:b/>
              </w:rPr>
              <w:t>papildu pasākumus</w:t>
            </w:r>
            <w:r w:rsidRPr="004A2377">
              <w:rPr>
                <w:rFonts w:eastAsiaTheme="minorHAnsi"/>
              </w:rPr>
              <w:t xml:space="preserve"> vides pieejamības nodrošināšanai</w:t>
            </w:r>
            <w:r>
              <w:rPr>
                <w:rFonts w:eastAsiaTheme="minorHAnsi"/>
              </w:rPr>
              <w:t xml:space="preserve"> </w:t>
            </w:r>
            <w:r w:rsidRPr="00440F25">
              <w:rPr>
                <w:rFonts w:eastAsiaTheme="minorHAnsi"/>
                <w:b/>
              </w:rPr>
              <w:t>jau būvniecības likumdošanā noteiktajām prasībām</w:t>
            </w:r>
            <w:r w:rsidR="00440F25">
              <w:rPr>
                <w:rFonts w:eastAsiaTheme="minorHAnsi"/>
              </w:rPr>
              <w:t>, p</w:t>
            </w:r>
            <w:r>
              <w:rPr>
                <w:rFonts w:eastAsiaTheme="minorHAnsi"/>
              </w:rPr>
              <w:t>iemēram, braila raksts</w:t>
            </w:r>
            <w:r w:rsidR="00440F25">
              <w:rPr>
                <w:rFonts w:eastAsiaTheme="minorHAnsi"/>
              </w:rPr>
              <w:t>.</w:t>
            </w:r>
          </w:p>
        </w:tc>
      </w:tr>
      <w:tr w:rsidR="002B62C3" w:rsidRPr="007B520A" w14:paraId="62E5E82D" w14:textId="77777777" w:rsidTr="00F6138F">
        <w:trPr>
          <w:cantSplit/>
        </w:trPr>
        <w:tc>
          <w:tcPr>
            <w:tcW w:w="645" w:type="dxa"/>
          </w:tcPr>
          <w:p w14:paraId="1B0B656C" w14:textId="7F154C4A" w:rsidR="002B62C3" w:rsidRDefault="002B62C3" w:rsidP="00AB59BD">
            <w:pPr>
              <w:jc w:val="center"/>
            </w:pPr>
            <w:r>
              <w:lastRenderedPageBreak/>
              <w:t>12.</w:t>
            </w:r>
          </w:p>
        </w:tc>
        <w:tc>
          <w:tcPr>
            <w:tcW w:w="6754" w:type="dxa"/>
          </w:tcPr>
          <w:p w14:paraId="1F3EAE2A" w14:textId="6F1CA00D" w:rsidR="002B62C3" w:rsidRPr="00B438DD" w:rsidRDefault="002B62C3" w:rsidP="00007F85">
            <w:pPr>
              <w:autoSpaceDE w:val="0"/>
              <w:autoSpaceDN w:val="0"/>
              <w:jc w:val="both"/>
              <w:rPr>
                <w:color w:val="000000"/>
              </w:rPr>
            </w:pPr>
            <w:r>
              <w:rPr>
                <w:color w:val="000000"/>
              </w:rPr>
              <w:t>V</w:t>
            </w:r>
            <w:r w:rsidRPr="006F63BE">
              <w:rPr>
                <w:color w:val="000000"/>
              </w:rPr>
              <w:t>ai pašpietiekamai ēkai arī elektroenerģija gada griezumā saražotais</w:t>
            </w:r>
            <w:r>
              <w:rPr>
                <w:color w:val="000000"/>
              </w:rPr>
              <w:t xml:space="preserve"> atņemot patērētais lielāks par </w:t>
            </w:r>
            <w:r w:rsidRPr="006F63BE">
              <w:rPr>
                <w:color w:val="000000"/>
              </w:rPr>
              <w:t>0? Pēc MK skaidri ir pateikts par siltumenerģiju, b</w:t>
            </w:r>
            <w:r>
              <w:rPr>
                <w:color w:val="000000"/>
              </w:rPr>
              <w:t>et elektroenerģiju nav skaidrs.</w:t>
            </w:r>
          </w:p>
        </w:tc>
        <w:tc>
          <w:tcPr>
            <w:tcW w:w="7227" w:type="dxa"/>
          </w:tcPr>
          <w:p w14:paraId="42AC3123" w14:textId="38350597" w:rsidR="002B62C3" w:rsidRPr="00357556" w:rsidRDefault="002B62C3" w:rsidP="00440F25">
            <w:pPr>
              <w:jc w:val="both"/>
              <w:rPr>
                <w:rFonts w:eastAsiaTheme="minorHAnsi"/>
              </w:rPr>
            </w:pPr>
            <w:r w:rsidRPr="00357556">
              <w:rPr>
                <w:rFonts w:eastAsiaTheme="minorHAnsi"/>
              </w:rPr>
              <w:t xml:space="preserve">MK noteikumu Nr. </w:t>
            </w:r>
            <w:r>
              <w:rPr>
                <w:rFonts w:eastAsiaTheme="minorHAnsi"/>
              </w:rPr>
              <w:t>418</w:t>
            </w:r>
            <w:r w:rsidRPr="00357556">
              <w:rPr>
                <w:rFonts w:eastAsiaTheme="minorHAnsi"/>
              </w:rPr>
              <w:t xml:space="preserve"> </w:t>
            </w:r>
            <w:r w:rsidRPr="00445211">
              <w:rPr>
                <w:rFonts w:eastAsiaTheme="minorHAnsi"/>
              </w:rPr>
              <w:t>8.4.</w:t>
            </w:r>
            <w:r w:rsidRPr="00357556">
              <w:rPr>
                <w:rFonts w:eastAsiaTheme="minorHAnsi"/>
              </w:rPr>
              <w:t xml:space="preserve"> </w:t>
            </w:r>
            <w:r>
              <w:rPr>
                <w:rFonts w:eastAsiaTheme="minorHAnsi"/>
              </w:rPr>
              <w:t>apakš</w:t>
            </w:r>
            <w:r w:rsidRPr="00357556">
              <w:rPr>
                <w:rFonts w:eastAsiaTheme="minorHAnsi"/>
              </w:rPr>
              <w:t>punkt</w:t>
            </w:r>
            <w:r>
              <w:rPr>
                <w:rFonts w:eastAsiaTheme="minorHAnsi"/>
              </w:rPr>
              <w:t xml:space="preserve">s nosaka, ka ēkā jānodrošina </w:t>
            </w:r>
            <w:r w:rsidRPr="00445211">
              <w:rPr>
                <w:rFonts w:eastAsiaTheme="minorHAnsi"/>
              </w:rPr>
              <w:t>siltumenerģij</w:t>
            </w:r>
            <w:r>
              <w:rPr>
                <w:rFonts w:eastAsiaTheme="minorHAnsi"/>
              </w:rPr>
              <w:t>a, kas ražota</w:t>
            </w:r>
            <w:r w:rsidRPr="00445211">
              <w:rPr>
                <w:rFonts w:eastAsiaTheme="minorHAnsi"/>
              </w:rPr>
              <w:t xml:space="preserve"> no atjaunojamiem energoresursiem 100 % apmērā</w:t>
            </w:r>
            <w:r>
              <w:rPr>
                <w:rFonts w:eastAsiaTheme="minorHAnsi"/>
              </w:rPr>
              <w:t xml:space="preserve">. Ja ēkā ir plānots siltumenerģiju nodrošināt izmantojot elektroenerģiju, kas saražota no atjaunojamiem energoresursiem (saules elektrostacija vai vēja elektrostacija), tad tādā gadījumā </w:t>
            </w:r>
            <w:r w:rsidRPr="00357556">
              <w:rPr>
                <w:rFonts w:eastAsiaTheme="minorHAnsi"/>
              </w:rPr>
              <w:t xml:space="preserve">MK noteikumu Nr. </w:t>
            </w:r>
            <w:r>
              <w:rPr>
                <w:rFonts w:eastAsiaTheme="minorHAnsi"/>
              </w:rPr>
              <w:t>418</w:t>
            </w:r>
            <w:r w:rsidRPr="00357556">
              <w:rPr>
                <w:rFonts w:eastAsiaTheme="minorHAnsi"/>
              </w:rPr>
              <w:t xml:space="preserve"> </w:t>
            </w:r>
            <w:r w:rsidRPr="00445211">
              <w:rPr>
                <w:rFonts w:eastAsiaTheme="minorHAnsi"/>
              </w:rPr>
              <w:t>8.4.</w:t>
            </w:r>
            <w:r>
              <w:rPr>
                <w:rFonts w:eastAsiaTheme="minorHAnsi"/>
              </w:rPr>
              <w:t xml:space="preserve"> apakšpunkta prasība </w:t>
            </w:r>
            <w:r w:rsidRPr="00445211">
              <w:rPr>
                <w:rFonts w:eastAsiaTheme="minorHAnsi"/>
                <w:b/>
              </w:rPr>
              <w:t>attiecas arī uz to elektroenerģijas apjomu, ko izmanto siltumenerģijas ražošanai</w:t>
            </w:r>
            <w:r>
              <w:rPr>
                <w:rFonts w:eastAsiaTheme="minorHAnsi"/>
                <w:b/>
              </w:rPr>
              <w:t>.</w:t>
            </w:r>
            <w:r>
              <w:rPr>
                <w:rFonts w:eastAsiaTheme="minorHAnsi"/>
              </w:rPr>
              <w:t xml:space="preserve"> Vienlaikus norādām, ka ir jāievēro </w:t>
            </w:r>
            <w:r w:rsidRPr="00357556">
              <w:rPr>
                <w:rFonts w:eastAsiaTheme="minorHAnsi"/>
              </w:rPr>
              <w:t xml:space="preserve">MK noteikumu Nr. </w:t>
            </w:r>
            <w:r>
              <w:rPr>
                <w:rFonts w:eastAsiaTheme="minorHAnsi"/>
              </w:rPr>
              <w:t>418</w:t>
            </w:r>
            <w:r w:rsidRPr="00357556">
              <w:rPr>
                <w:rFonts w:eastAsiaTheme="minorHAnsi"/>
              </w:rPr>
              <w:t xml:space="preserve"> </w:t>
            </w:r>
            <w:r w:rsidRPr="00445211">
              <w:rPr>
                <w:rFonts w:eastAsiaTheme="minorHAnsi"/>
              </w:rPr>
              <w:t>8.</w:t>
            </w:r>
            <w:r>
              <w:rPr>
                <w:rFonts w:eastAsiaTheme="minorHAnsi"/>
              </w:rPr>
              <w:t>2</w:t>
            </w:r>
            <w:r w:rsidRPr="00445211">
              <w:rPr>
                <w:rFonts w:eastAsiaTheme="minorHAnsi"/>
              </w:rPr>
              <w:t>.</w:t>
            </w:r>
            <w:r w:rsidRPr="00357556">
              <w:rPr>
                <w:rFonts w:eastAsiaTheme="minorHAnsi"/>
              </w:rPr>
              <w:t xml:space="preserve"> </w:t>
            </w:r>
            <w:r>
              <w:rPr>
                <w:rFonts w:eastAsiaTheme="minorHAnsi"/>
              </w:rPr>
              <w:t>apakš</w:t>
            </w:r>
            <w:r w:rsidRPr="00357556">
              <w:rPr>
                <w:rFonts w:eastAsiaTheme="minorHAnsi"/>
              </w:rPr>
              <w:t>punkt</w:t>
            </w:r>
            <w:r>
              <w:rPr>
                <w:rFonts w:eastAsiaTheme="minorHAnsi"/>
              </w:rPr>
              <w:t xml:space="preserve">a prasība, ka </w:t>
            </w:r>
            <w:r w:rsidRPr="00B016F1">
              <w:rPr>
                <w:rFonts w:eastAsiaTheme="minorHAnsi"/>
              </w:rPr>
              <w:t>ēkas ekspluatācijai nepieciešamais kopējais primārās enerģijas patēriņš apkurei, karstā ūdens apgādei, mehāniskajai ventilācijai, dzesēšanai, apgaismojumam ir ne vairāk kā 95 kWh/m</w:t>
            </w:r>
            <w:r w:rsidRPr="00B016F1">
              <w:rPr>
                <w:rFonts w:eastAsiaTheme="minorHAnsi"/>
                <w:vertAlign w:val="superscript"/>
              </w:rPr>
              <w:t>2</w:t>
            </w:r>
            <w:r w:rsidRPr="00B016F1">
              <w:rPr>
                <w:rFonts w:eastAsiaTheme="minorHAnsi"/>
              </w:rPr>
              <w:t xml:space="preserve"> gadā</w:t>
            </w:r>
            <w:r>
              <w:rPr>
                <w:rFonts w:eastAsiaTheme="minorHAnsi"/>
              </w:rPr>
              <w:t>.</w:t>
            </w:r>
          </w:p>
        </w:tc>
      </w:tr>
      <w:tr w:rsidR="002B62C3" w:rsidRPr="007B520A" w14:paraId="0E1E4B8C" w14:textId="77777777" w:rsidTr="00F6138F">
        <w:trPr>
          <w:cantSplit/>
        </w:trPr>
        <w:tc>
          <w:tcPr>
            <w:tcW w:w="645" w:type="dxa"/>
          </w:tcPr>
          <w:p w14:paraId="2908E5BC" w14:textId="652436DD" w:rsidR="002B62C3" w:rsidRDefault="002B62C3" w:rsidP="00AB59BD">
            <w:pPr>
              <w:jc w:val="center"/>
            </w:pPr>
            <w:r>
              <w:t>13.</w:t>
            </w:r>
          </w:p>
        </w:tc>
        <w:tc>
          <w:tcPr>
            <w:tcW w:w="6754" w:type="dxa"/>
          </w:tcPr>
          <w:p w14:paraId="5562198A" w14:textId="3959A14A" w:rsidR="002B62C3" w:rsidRPr="00B438DD" w:rsidRDefault="002B62C3" w:rsidP="00007F85">
            <w:pPr>
              <w:autoSpaceDE w:val="0"/>
              <w:autoSpaceDN w:val="0"/>
              <w:jc w:val="both"/>
              <w:rPr>
                <w:color w:val="000000"/>
              </w:rPr>
            </w:pPr>
            <w:r>
              <w:rPr>
                <w:color w:val="000000"/>
              </w:rPr>
              <w:t>V</w:t>
            </w:r>
            <w:r w:rsidRPr="006F63BE">
              <w:rPr>
                <w:color w:val="000000"/>
              </w:rPr>
              <w:t>ai karstais ūdens 100% jānodrošina no atjaunojamajiem resursiem?</w:t>
            </w:r>
          </w:p>
        </w:tc>
        <w:tc>
          <w:tcPr>
            <w:tcW w:w="7227" w:type="dxa"/>
          </w:tcPr>
          <w:p w14:paraId="2F7A9E79" w14:textId="3E8D6807" w:rsidR="002B62C3" w:rsidRPr="00357556" w:rsidRDefault="002B62C3" w:rsidP="00440F25">
            <w:pPr>
              <w:jc w:val="both"/>
              <w:rPr>
                <w:rFonts w:eastAsiaTheme="minorHAnsi"/>
              </w:rPr>
            </w:pPr>
            <w:r w:rsidRPr="00357556">
              <w:rPr>
                <w:rFonts w:eastAsiaTheme="minorHAnsi"/>
              </w:rPr>
              <w:t xml:space="preserve">MK noteikumu Nr. </w:t>
            </w:r>
            <w:r>
              <w:rPr>
                <w:rFonts w:eastAsiaTheme="minorHAnsi"/>
              </w:rPr>
              <w:t>418</w:t>
            </w:r>
            <w:r w:rsidRPr="00357556">
              <w:rPr>
                <w:rFonts w:eastAsiaTheme="minorHAnsi"/>
              </w:rPr>
              <w:t xml:space="preserve"> </w:t>
            </w:r>
            <w:r>
              <w:rPr>
                <w:rFonts w:eastAsiaTheme="minorHAnsi"/>
              </w:rPr>
              <w:t xml:space="preserve">7. un </w:t>
            </w:r>
            <w:r w:rsidRPr="00445211">
              <w:rPr>
                <w:rFonts w:eastAsiaTheme="minorHAnsi"/>
              </w:rPr>
              <w:t>8.4.</w:t>
            </w:r>
            <w:r w:rsidRPr="00357556">
              <w:rPr>
                <w:rFonts w:eastAsiaTheme="minorHAnsi"/>
              </w:rPr>
              <w:t xml:space="preserve"> </w:t>
            </w:r>
            <w:r>
              <w:rPr>
                <w:rFonts w:eastAsiaTheme="minorHAnsi"/>
              </w:rPr>
              <w:t>apakš</w:t>
            </w:r>
            <w:r w:rsidRPr="00357556">
              <w:rPr>
                <w:rFonts w:eastAsiaTheme="minorHAnsi"/>
              </w:rPr>
              <w:t>punkt</w:t>
            </w:r>
            <w:r>
              <w:rPr>
                <w:rFonts w:eastAsiaTheme="minorHAnsi"/>
              </w:rPr>
              <w:t xml:space="preserve">a prasība ir attiecināma arī uz karsto ūdeni, t.i. </w:t>
            </w:r>
            <w:r w:rsidRPr="000C52D0">
              <w:t xml:space="preserve">projekta īstenošanas laikā ēkā </w:t>
            </w:r>
            <w:r>
              <w:t>jā</w:t>
            </w:r>
            <w:r w:rsidRPr="000C52D0">
              <w:t>uzstād</w:t>
            </w:r>
            <w:r>
              <w:t>a</w:t>
            </w:r>
            <w:r w:rsidRPr="000C52D0">
              <w:t xml:space="preserve"> atjaunojamo energoresursu tehnoloģijas un </w:t>
            </w:r>
            <w:r>
              <w:t>jā</w:t>
            </w:r>
            <w:r w:rsidRPr="000C52D0">
              <w:t>nodrošin</w:t>
            </w:r>
            <w:r>
              <w:t>a</w:t>
            </w:r>
            <w:r w:rsidRPr="000C52D0">
              <w:t xml:space="preserve"> sil</w:t>
            </w:r>
            <w:r>
              <w:t>tumenerģija (karstais ūdens un apkure)</w:t>
            </w:r>
            <w:r w:rsidRPr="000C52D0">
              <w:t xml:space="preserve"> no atjaunojamiem energoresursiem 100 % apmērā</w:t>
            </w:r>
            <w:r>
              <w:t xml:space="preserve">. </w:t>
            </w:r>
            <w:r>
              <w:rPr>
                <w:rFonts w:eastAsiaTheme="minorHAnsi"/>
              </w:rPr>
              <w:t xml:space="preserve">Vienlaikus norādām, ka ir jāievēro </w:t>
            </w:r>
            <w:r w:rsidRPr="00357556">
              <w:rPr>
                <w:rFonts w:eastAsiaTheme="minorHAnsi"/>
              </w:rPr>
              <w:t xml:space="preserve">MK noteikumu Nr. </w:t>
            </w:r>
            <w:r>
              <w:rPr>
                <w:rFonts w:eastAsiaTheme="minorHAnsi"/>
              </w:rPr>
              <w:t>418</w:t>
            </w:r>
            <w:r w:rsidRPr="00357556">
              <w:rPr>
                <w:rFonts w:eastAsiaTheme="minorHAnsi"/>
              </w:rPr>
              <w:t xml:space="preserve"> </w:t>
            </w:r>
            <w:r w:rsidRPr="00445211">
              <w:rPr>
                <w:rFonts w:eastAsiaTheme="minorHAnsi"/>
              </w:rPr>
              <w:t>8.</w:t>
            </w:r>
            <w:r>
              <w:rPr>
                <w:rFonts w:eastAsiaTheme="minorHAnsi"/>
              </w:rPr>
              <w:t>2</w:t>
            </w:r>
            <w:r w:rsidRPr="00445211">
              <w:rPr>
                <w:rFonts w:eastAsiaTheme="minorHAnsi"/>
              </w:rPr>
              <w:t>.</w:t>
            </w:r>
            <w:r w:rsidRPr="00357556">
              <w:rPr>
                <w:rFonts w:eastAsiaTheme="minorHAnsi"/>
              </w:rPr>
              <w:t xml:space="preserve"> </w:t>
            </w:r>
            <w:r>
              <w:rPr>
                <w:rFonts w:eastAsiaTheme="minorHAnsi"/>
              </w:rPr>
              <w:t>apakš</w:t>
            </w:r>
            <w:r w:rsidRPr="00357556">
              <w:rPr>
                <w:rFonts w:eastAsiaTheme="minorHAnsi"/>
              </w:rPr>
              <w:t>punkt</w:t>
            </w:r>
            <w:r>
              <w:rPr>
                <w:rFonts w:eastAsiaTheme="minorHAnsi"/>
              </w:rPr>
              <w:t xml:space="preserve">a prasība, ka </w:t>
            </w:r>
            <w:r w:rsidRPr="00B016F1">
              <w:rPr>
                <w:rFonts w:eastAsiaTheme="minorHAnsi"/>
              </w:rPr>
              <w:t>ēkas ekspluatācijai nepieciešamais kopējais primārās enerģijas patēriņš apkurei, karstā ūdens apgādei, mehāniskajai ventilācijai, dzesēšanai, apgaismojumam ir ne vairāk kā 95 kWh/m</w:t>
            </w:r>
            <w:r w:rsidRPr="00B016F1">
              <w:rPr>
                <w:rFonts w:eastAsiaTheme="minorHAnsi"/>
                <w:vertAlign w:val="superscript"/>
              </w:rPr>
              <w:t>2</w:t>
            </w:r>
            <w:r w:rsidRPr="00B016F1">
              <w:rPr>
                <w:rFonts w:eastAsiaTheme="minorHAnsi"/>
              </w:rPr>
              <w:t xml:space="preserve"> gadā</w:t>
            </w:r>
            <w:r>
              <w:rPr>
                <w:rFonts w:eastAsiaTheme="minorHAnsi"/>
              </w:rPr>
              <w:t>.</w:t>
            </w:r>
          </w:p>
        </w:tc>
      </w:tr>
      <w:tr w:rsidR="002B62C3" w:rsidRPr="007B520A" w14:paraId="6F615DA7" w14:textId="77777777" w:rsidTr="00F6138F">
        <w:trPr>
          <w:cantSplit/>
        </w:trPr>
        <w:tc>
          <w:tcPr>
            <w:tcW w:w="645" w:type="dxa"/>
          </w:tcPr>
          <w:p w14:paraId="3B44E731" w14:textId="51DCADB5" w:rsidR="002B62C3" w:rsidRDefault="002B62C3" w:rsidP="00AB59BD">
            <w:pPr>
              <w:jc w:val="center"/>
            </w:pPr>
            <w:r>
              <w:t>14.</w:t>
            </w:r>
          </w:p>
        </w:tc>
        <w:tc>
          <w:tcPr>
            <w:tcW w:w="6754" w:type="dxa"/>
          </w:tcPr>
          <w:p w14:paraId="5D661884" w14:textId="1A00D871" w:rsidR="002B62C3" w:rsidRPr="00B438DD" w:rsidRDefault="002B62C3" w:rsidP="00007F85">
            <w:pPr>
              <w:autoSpaceDE w:val="0"/>
              <w:autoSpaceDN w:val="0"/>
              <w:jc w:val="both"/>
              <w:rPr>
                <w:color w:val="000000"/>
              </w:rPr>
            </w:pPr>
            <w:r w:rsidRPr="006F63BE">
              <w:rPr>
                <w:color w:val="000000"/>
              </w:rPr>
              <w:t>Ja iepirkums ir izsludināts (max punktu skaits kritērijā Nr. 18), bet nav noslēdzies, tad dzīves cikla analīze nav attiecināma? (kritērijā Nr.</w:t>
            </w:r>
            <w:r>
              <w:rPr>
                <w:color w:val="000000"/>
              </w:rPr>
              <w:t xml:space="preserve"> </w:t>
            </w:r>
            <w:r w:rsidRPr="006F63BE">
              <w:rPr>
                <w:color w:val="000000"/>
              </w:rPr>
              <w:t>8 automātiski ir 0 punkti?)</w:t>
            </w:r>
          </w:p>
        </w:tc>
        <w:tc>
          <w:tcPr>
            <w:tcW w:w="7227" w:type="dxa"/>
          </w:tcPr>
          <w:p w14:paraId="30C7785D" w14:textId="2D7C18CE" w:rsidR="002B62C3" w:rsidRPr="00357556" w:rsidRDefault="002B62C3" w:rsidP="00440F25">
            <w:pPr>
              <w:jc w:val="both"/>
              <w:rPr>
                <w:rFonts w:eastAsiaTheme="minorHAnsi"/>
              </w:rPr>
            </w:pPr>
            <w:r w:rsidRPr="00357556">
              <w:rPr>
                <w:rFonts w:eastAsiaTheme="minorHAnsi"/>
              </w:rPr>
              <w:t>M</w:t>
            </w:r>
            <w:r>
              <w:rPr>
                <w:rFonts w:eastAsiaTheme="minorHAnsi"/>
              </w:rPr>
              <w:t>K noteikumu Nr. 418 5. pielikuma</w:t>
            </w:r>
            <w:r w:rsidRPr="00357556">
              <w:rPr>
                <w:rFonts w:eastAsiaTheme="minorHAnsi"/>
              </w:rPr>
              <w:t xml:space="preserve"> </w:t>
            </w:r>
            <w:r>
              <w:rPr>
                <w:rFonts w:eastAsiaTheme="minorHAnsi"/>
              </w:rPr>
              <w:t>8</w:t>
            </w:r>
            <w:r w:rsidRPr="00357556">
              <w:rPr>
                <w:rFonts w:eastAsiaTheme="minorHAnsi"/>
              </w:rPr>
              <w:t xml:space="preserve">. kritērijā maksimālo punktu skaitu saņems, ja </w:t>
            </w:r>
            <w:r w:rsidRPr="00B016F1">
              <w:rPr>
                <w:rFonts w:eastAsiaTheme="minorHAnsi"/>
              </w:rPr>
              <w:t>tiks pievienot</w:t>
            </w:r>
            <w:r>
              <w:rPr>
                <w:rFonts w:eastAsiaTheme="minorHAnsi"/>
              </w:rPr>
              <w:t>a</w:t>
            </w:r>
            <w:r w:rsidRPr="00B016F1">
              <w:rPr>
                <w:rFonts w:eastAsiaTheme="minorHAnsi"/>
              </w:rPr>
              <w:t xml:space="preserve"> projekta iesnieguma</w:t>
            </w:r>
            <w:r>
              <w:rPr>
                <w:rFonts w:eastAsiaTheme="minorHAnsi"/>
              </w:rPr>
              <w:t>m</w:t>
            </w:r>
            <w:r w:rsidRPr="00B016F1">
              <w:rPr>
                <w:rFonts w:eastAsiaTheme="minorHAnsi"/>
              </w:rPr>
              <w:t xml:space="preserve"> dzīves cikla analīz</w:t>
            </w:r>
            <w:r>
              <w:rPr>
                <w:rFonts w:eastAsiaTheme="minorHAnsi"/>
              </w:rPr>
              <w:t>e</w:t>
            </w:r>
            <w:r w:rsidRPr="00B016F1">
              <w:rPr>
                <w:rFonts w:eastAsiaTheme="minorHAnsi"/>
              </w:rPr>
              <w:t xml:space="preserve"> par visu ēkas būvkonstrukciju, ārsienu, izolācijas materiālu, grīdu un pārsegumu, iekšējo sienu, logu un jumta materiālu ražošanas, piegādes un ekspluatācijas laiku, kas veikta izmantojot ISO 15686-5, ISO 14040 un 14044, EN 15978 vai līdzvērtīgu standartu metodiku</w:t>
            </w:r>
            <w:r>
              <w:rPr>
                <w:rFonts w:eastAsiaTheme="minorHAnsi"/>
              </w:rPr>
              <w:t xml:space="preserve">. Būvdarbu iepirkuma izsludināšanas statuss </w:t>
            </w:r>
            <w:r w:rsidRPr="00CE001F">
              <w:rPr>
                <w:rFonts w:eastAsiaTheme="minorHAnsi"/>
              </w:rPr>
              <w:t xml:space="preserve">neietekmē </w:t>
            </w:r>
            <w:r w:rsidRPr="00357556">
              <w:rPr>
                <w:rFonts w:eastAsiaTheme="minorHAnsi"/>
              </w:rPr>
              <w:t>M</w:t>
            </w:r>
            <w:r>
              <w:rPr>
                <w:rFonts w:eastAsiaTheme="minorHAnsi"/>
              </w:rPr>
              <w:t>K noteikumu Nr. 418 5. pielikuma</w:t>
            </w:r>
            <w:r w:rsidRPr="00357556">
              <w:rPr>
                <w:rFonts w:eastAsiaTheme="minorHAnsi"/>
              </w:rPr>
              <w:t xml:space="preserve"> </w:t>
            </w:r>
            <w:r>
              <w:rPr>
                <w:rFonts w:eastAsiaTheme="minorHAnsi"/>
              </w:rPr>
              <w:t>8. kritērija izvērtēšanu.</w:t>
            </w:r>
            <w:r w:rsidRPr="00357556">
              <w:rPr>
                <w:rFonts w:eastAsiaTheme="minorHAnsi"/>
              </w:rPr>
              <w:t xml:space="preserve"> </w:t>
            </w:r>
          </w:p>
        </w:tc>
      </w:tr>
      <w:tr w:rsidR="002B62C3" w:rsidRPr="007B520A" w14:paraId="53CEF509" w14:textId="77777777" w:rsidTr="00F6138F">
        <w:trPr>
          <w:cantSplit/>
        </w:trPr>
        <w:tc>
          <w:tcPr>
            <w:tcW w:w="645" w:type="dxa"/>
          </w:tcPr>
          <w:p w14:paraId="635D39B4" w14:textId="0CD061B1" w:rsidR="002B62C3" w:rsidRDefault="002B62C3" w:rsidP="00AB59BD">
            <w:pPr>
              <w:jc w:val="center"/>
            </w:pPr>
            <w:r>
              <w:t>15.</w:t>
            </w:r>
          </w:p>
        </w:tc>
        <w:tc>
          <w:tcPr>
            <w:tcW w:w="6754" w:type="dxa"/>
          </w:tcPr>
          <w:p w14:paraId="0A7B9D96" w14:textId="31408863" w:rsidR="002B62C3" w:rsidRPr="00B438DD" w:rsidRDefault="002B62C3" w:rsidP="00007F85">
            <w:pPr>
              <w:autoSpaceDE w:val="0"/>
              <w:autoSpaceDN w:val="0"/>
              <w:jc w:val="both"/>
              <w:rPr>
                <w:color w:val="000000"/>
              </w:rPr>
            </w:pPr>
            <w:r>
              <w:rPr>
                <w:color w:val="000000"/>
              </w:rPr>
              <w:t>Kritērijs: “</w:t>
            </w:r>
            <w:r w:rsidRPr="006F63BE">
              <w:rPr>
                <w:color w:val="000000"/>
              </w:rPr>
              <w:t>Ēkā mazāk nekā 80 % no ēkas izmantojamās platības paredzēts nodrošināt vidējo dienasgaismas koeficientu 1,5 % uz ārpagalmu vērstām fasādēm vai 0,7 % uz iekšpagalmu vērstām fasādēm</w:t>
            </w:r>
            <w:r>
              <w:rPr>
                <w:color w:val="000000"/>
              </w:rPr>
              <w:t xml:space="preserve">”. </w:t>
            </w:r>
            <w:r w:rsidRPr="00445211">
              <w:rPr>
                <w:color w:val="000000"/>
              </w:rPr>
              <w:t>Mazāk kā 80% nozīmē arī 10% vai 5% no ēkas izmantojamās platības? Ja ir mazāk par 80%, tad aprēķins (arī nedetalizēts pa telpām) nav jāpievieno?</w:t>
            </w:r>
          </w:p>
        </w:tc>
        <w:tc>
          <w:tcPr>
            <w:tcW w:w="7227" w:type="dxa"/>
          </w:tcPr>
          <w:p w14:paraId="43594C3F" w14:textId="13BD0394" w:rsidR="002B62C3" w:rsidRPr="00357556" w:rsidRDefault="002B62C3" w:rsidP="00440F25">
            <w:pPr>
              <w:jc w:val="both"/>
              <w:rPr>
                <w:rFonts w:eastAsiaTheme="minorHAnsi"/>
              </w:rPr>
            </w:pPr>
            <w:r w:rsidRPr="00357556">
              <w:rPr>
                <w:rFonts w:eastAsiaTheme="minorHAnsi"/>
              </w:rPr>
              <w:t>M</w:t>
            </w:r>
            <w:r>
              <w:rPr>
                <w:rFonts w:eastAsiaTheme="minorHAnsi"/>
              </w:rPr>
              <w:t>K noteikumu Nr. 418 5. pielikuma</w:t>
            </w:r>
            <w:r w:rsidRPr="00357556">
              <w:rPr>
                <w:rFonts w:eastAsiaTheme="minorHAnsi"/>
              </w:rPr>
              <w:t xml:space="preserve"> </w:t>
            </w:r>
            <w:r>
              <w:rPr>
                <w:rFonts w:eastAsiaTheme="minorHAnsi"/>
              </w:rPr>
              <w:t>7</w:t>
            </w:r>
            <w:r w:rsidRPr="00357556">
              <w:rPr>
                <w:rFonts w:eastAsiaTheme="minorHAnsi"/>
              </w:rPr>
              <w:t>. kritērijā</w:t>
            </w:r>
            <w:r>
              <w:rPr>
                <w:rFonts w:eastAsiaTheme="minorHAnsi"/>
              </w:rPr>
              <w:t xml:space="preserve"> </w:t>
            </w:r>
            <w:r w:rsidRPr="00B016F1">
              <w:rPr>
                <w:rFonts w:eastAsiaTheme="minorHAnsi"/>
                <w:b/>
              </w:rPr>
              <w:t>ir jāiegūst vismaz 2 punkti pretējā gadījumā projekta iesniegums tiks noraidīts</w:t>
            </w:r>
            <w:r>
              <w:rPr>
                <w:rFonts w:eastAsiaTheme="minorHAnsi"/>
              </w:rPr>
              <w:t xml:space="preserve">. Lai pamatotu projekta iesnieguma atbilstību minētajam punktam projekta iesniedzējam </w:t>
            </w:r>
            <w:r w:rsidRPr="008F5A12">
              <w:rPr>
                <w:rFonts w:eastAsiaTheme="minorHAnsi"/>
                <w:b/>
              </w:rPr>
              <w:t>ir jāiesniedz detalizēts aprēķins par vidējo dienasgaismas koeficientu ēkā</w:t>
            </w:r>
            <w:r>
              <w:rPr>
                <w:rFonts w:eastAsiaTheme="minorHAnsi"/>
              </w:rPr>
              <w:t xml:space="preserve">. </w:t>
            </w:r>
            <w:r w:rsidRPr="00357556">
              <w:rPr>
                <w:rFonts w:eastAsiaTheme="minorHAnsi"/>
              </w:rPr>
              <w:t>M</w:t>
            </w:r>
            <w:r>
              <w:rPr>
                <w:rFonts w:eastAsiaTheme="minorHAnsi"/>
              </w:rPr>
              <w:t>K noteikumu Nr. 418 5. pielikuma</w:t>
            </w:r>
            <w:r w:rsidRPr="00357556">
              <w:rPr>
                <w:rFonts w:eastAsiaTheme="minorHAnsi"/>
              </w:rPr>
              <w:t xml:space="preserve"> </w:t>
            </w:r>
            <w:r>
              <w:rPr>
                <w:rFonts w:eastAsiaTheme="minorHAnsi"/>
              </w:rPr>
              <w:t>7</w:t>
            </w:r>
            <w:r w:rsidRPr="00357556">
              <w:rPr>
                <w:rFonts w:eastAsiaTheme="minorHAnsi"/>
              </w:rPr>
              <w:t>. kritērijā</w:t>
            </w:r>
            <w:r>
              <w:rPr>
                <w:rFonts w:eastAsiaTheme="minorHAnsi"/>
              </w:rPr>
              <w:t xml:space="preserve"> 2 punkti tiks piešķirti projekta iesniegumam, </w:t>
            </w:r>
            <w:r w:rsidRPr="008F5A12">
              <w:rPr>
                <w:rFonts w:eastAsiaTheme="minorHAnsi"/>
                <w:b/>
              </w:rPr>
              <w:t>ja</w:t>
            </w:r>
            <w:r>
              <w:rPr>
                <w:rFonts w:eastAsiaTheme="minorHAnsi"/>
                <w:b/>
              </w:rPr>
              <w:t xml:space="preserve"> tajā</w:t>
            </w:r>
            <w:r w:rsidRPr="008F5A12">
              <w:rPr>
                <w:rFonts w:eastAsiaTheme="minorHAnsi"/>
                <w:b/>
              </w:rPr>
              <w:t xml:space="preserve"> paredzēts nodrošināt vidējo dienasgaismas koeficientu 1,5 % uz ārpagalmu vērstām fasādēm vai 0,7 % uz iekšpagalmu vērstām fasādēm</w:t>
            </w:r>
            <w:r w:rsidRPr="008F5A12">
              <w:rPr>
                <w:rFonts w:eastAsiaTheme="minorHAnsi"/>
              </w:rPr>
              <w:t xml:space="preserve"> mazāk nekā 80 % no ēkas izmantojamās platības</w:t>
            </w:r>
            <w:r>
              <w:rPr>
                <w:rFonts w:eastAsiaTheme="minorHAnsi"/>
              </w:rPr>
              <w:t xml:space="preserve"> (var būt arī 1</w:t>
            </w:r>
            <w:r w:rsidRPr="008F5A12">
              <w:rPr>
                <w:rFonts w:eastAsiaTheme="minorHAnsi"/>
              </w:rPr>
              <w:t>0 % no ēkas izmantojamās platības</w:t>
            </w:r>
            <w:r>
              <w:rPr>
                <w:rFonts w:eastAsiaTheme="minorHAnsi"/>
              </w:rPr>
              <w:t>, bet tas ir jāpamato ar aprēķiniem par visu ēku).</w:t>
            </w:r>
          </w:p>
        </w:tc>
      </w:tr>
      <w:tr w:rsidR="002B62C3" w:rsidRPr="007B520A" w14:paraId="6154321A" w14:textId="77777777" w:rsidTr="00F6138F">
        <w:trPr>
          <w:cantSplit/>
        </w:trPr>
        <w:tc>
          <w:tcPr>
            <w:tcW w:w="645" w:type="dxa"/>
          </w:tcPr>
          <w:p w14:paraId="459B468A" w14:textId="553EEE6D" w:rsidR="002B62C3" w:rsidRDefault="002B62C3" w:rsidP="00AB59BD">
            <w:pPr>
              <w:jc w:val="center"/>
            </w:pPr>
            <w:r>
              <w:lastRenderedPageBreak/>
              <w:t>16.</w:t>
            </w:r>
          </w:p>
        </w:tc>
        <w:tc>
          <w:tcPr>
            <w:tcW w:w="6754" w:type="dxa"/>
          </w:tcPr>
          <w:p w14:paraId="70EE0807" w14:textId="6A4DA522" w:rsidR="002B62C3" w:rsidRPr="00B438DD" w:rsidRDefault="002B62C3" w:rsidP="00007F85">
            <w:pPr>
              <w:autoSpaceDE w:val="0"/>
              <w:autoSpaceDN w:val="0"/>
              <w:jc w:val="both"/>
              <w:rPr>
                <w:color w:val="000000"/>
              </w:rPr>
            </w:pPr>
            <w:r w:rsidRPr="00445211">
              <w:rPr>
                <w:color w:val="000000"/>
              </w:rPr>
              <w:t>Pēc vadlīnijām saprotams, ka pietiek ar brīvā formā uzrakstītu ražotāja apliecinājumu, ka materiāls izgatavots no pārstrādātiem materiāliem (t.i. nav nepieciešams specifisks sertifikāts?)</w:t>
            </w:r>
          </w:p>
        </w:tc>
        <w:tc>
          <w:tcPr>
            <w:tcW w:w="7227" w:type="dxa"/>
          </w:tcPr>
          <w:p w14:paraId="76B6E3F5" w14:textId="3FC50BE1" w:rsidR="002B62C3" w:rsidRPr="00357556" w:rsidRDefault="002B62C3" w:rsidP="00440F25">
            <w:pPr>
              <w:jc w:val="both"/>
              <w:rPr>
                <w:rFonts w:eastAsiaTheme="minorHAnsi"/>
              </w:rPr>
            </w:pPr>
            <w:r w:rsidRPr="00357556">
              <w:rPr>
                <w:rFonts w:eastAsiaTheme="minorHAnsi"/>
              </w:rPr>
              <w:t>M</w:t>
            </w:r>
            <w:r>
              <w:rPr>
                <w:rFonts w:eastAsiaTheme="minorHAnsi"/>
              </w:rPr>
              <w:t xml:space="preserve">K noteikumi Nr. 418 </w:t>
            </w:r>
            <w:r w:rsidRPr="008F5A12">
              <w:rPr>
                <w:rFonts w:eastAsiaTheme="minorHAnsi"/>
                <w:b/>
              </w:rPr>
              <w:t>nenosaka prasības</w:t>
            </w:r>
            <w:r>
              <w:rPr>
                <w:rFonts w:eastAsiaTheme="minorHAnsi"/>
              </w:rPr>
              <w:t xml:space="preserve">, kā tiek pamatots, ka </w:t>
            </w:r>
            <w:r w:rsidRPr="008F5A12">
              <w:rPr>
                <w:rFonts w:eastAsiaTheme="minorHAnsi"/>
              </w:rPr>
              <w:t>ēkas būvniecībā paredzēts izmantot reciklētus (pārstrādātus) materiālus</w:t>
            </w:r>
            <w:r>
              <w:rPr>
                <w:rFonts w:eastAsiaTheme="minorHAnsi"/>
              </w:rPr>
              <w:t>. Līdz ar to projekta iesniedzējs izvēlas piemērotāko veidu kā to pamatot/apliecināt, piemēram, iesniedzot ražotāja apliecinājumu, atbilstošu sertifikātu, īpašas prasības iepirkuma dokumentācijā vai citu dokumentu.</w:t>
            </w:r>
          </w:p>
        </w:tc>
      </w:tr>
      <w:tr w:rsidR="00390B7F" w:rsidRPr="007B520A" w14:paraId="4C7969DB" w14:textId="77777777" w:rsidTr="00F6138F">
        <w:trPr>
          <w:cantSplit/>
        </w:trPr>
        <w:tc>
          <w:tcPr>
            <w:tcW w:w="645" w:type="dxa"/>
          </w:tcPr>
          <w:p w14:paraId="603FEBF0" w14:textId="73C10B4A" w:rsidR="00390B7F" w:rsidRDefault="00390B7F" w:rsidP="00AB59BD">
            <w:pPr>
              <w:jc w:val="center"/>
            </w:pPr>
            <w:r>
              <w:t>17.</w:t>
            </w:r>
          </w:p>
        </w:tc>
        <w:tc>
          <w:tcPr>
            <w:tcW w:w="6754" w:type="dxa"/>
          </w:tcPr>
          <w:p w14:paraId="2189E5A8" w14:textId="77777777" w:rsidR="00390B7F" w:rsidRPr="00390B7F" w:rsidRDefault="00390B7F" w:rsidP="00390B7F">
            <w:pPr>
              <w:autoSpaceDE w:val="0"/>
              <w:autoSpaceDN w:val="0"/>
              <w:jc w:val="both"/>
              <w:rPr>
                <w:color w:val="000000"/>
              </w:rPr>
            </w:pPr>
            <w:r>
              <w:rPr>
                <w:color w:val="000000"/>
              </w:rPr>
              <w:t xml:space="preserve">Kritērijs: </w:t>
            </w:r>
            <w:r w:rsidRPr="00390B7F">
              <w:rPr>
                <w:color w:val="000000"/>
              </w:rPr>
              <w:t>“ēkā paredzēta autonoma atjaunojamo energoresursu tehnoloģiju uzstādīšana, kas 100% apmērā nodrošinās ēkai nepieciešamo siltumenerģijas saražošanu un vismaz 20% no kopējā ēkas siltumenerģijas apjoma tiks iegūts, izmantojot ventilācijas sistēmas ar siltuma rekuperāciju”</w:t>
            </w:r>
          </w:p>
          <w:p w14:paraId="0F4B368C" w14:textId="423C2D88" w:rsidR="00390B7F" w:rsidRPr="00445211" w:rsidRDefault="00390B7F" w:rsidP="00390B7F">
            <w:pPr>
              <w:autoSpaceDE w:val="0"/>
              <w:autoSpaceDN w:val="0"/>
              <w:jc w:val="both"/>
              <w:rPr>
                <w:color w:val="000000"/>
              </w:rPr>
            </w:pPr>
            <w:r w:rsidRPr="00390B7F">
              <w:rPr>
                <w:color w:val="000000"/>
              </w:rPr>
              <w:t>Vai varētu uzrādīt piemēru ar aprēķina metodiku kā šos 20% rēķināt? Konsultējoties ar kolēģiem energoauditoriem ir dažādi uzskati, kas ir šis rādītājs un kā to aprēķināt.</w:t>
            </w:r>
          </w:p>
        </w:tc>
        <w:tc>
          <w:tcPr>
            <w:tcW w:w="7227" w:type="dxa"/>
          </w:tcPr>
          <w:p w14:paraId="41A91058" w14:textId="3E3997FF" w:rsidR="00913EAF" w:rsidRDefault="00390B7F" w:rsidP="00164BCE">
            <w:pPr>
              <w:jc w:val="both"/>
              <w:rPr>
                <w:rFonts w:eastAsiaTheme="minorHAnsi"/>
              </w:rPr>
            </w:pPr>
            <w:r>
              <w:rPr>
                <w:rFonts w:eastAsiaTheme="minorHAnsi"/>
              </w:rPr>
              <w:t>Ē</w:t>
            </w:r>
            <w:r w:rsidRPr="00390B7F">
              <w:rPr>
                <w:rFonts w:eastAsiaTheme="minorHAnsi"/>
              </w:rPr>
              <w:t>kas energ</w:t>
            </w:r>
            <w:r>
              <w:rPr>
                <w:rFonts w:eastAsiaTheme="minorHAnsi"/>
              </w:rPr>
              <w:t>oefektivitātes rādītāju aprēķinu veic n</w:t>
            </w:r>
            <w:r w:rsidRPr="00390B7F">
              <w:rPr>
                <w:rFonts w:eastAsiaTheme="minorHAnsi"/>
              </w:rPr>
              <w:t>eatkarīg</w:t>
            </w:r>
            <w:r>
              <w:rPr>
                <w:rFonts w:eastAsiaTheme="minorHAnsi"/>
              </w:rPr>
              <w:t>s</w:t>
            </w:r>
            <w:r w:rsidRPr="00390B7F">
              <w:rPr>
                <w:rFonts w:eastAsiaTheme="minorHAnsi"/>
              </w:rPr>
              <w:t xml:space="preserve"> ekspert</w:t>
            </w:r>
            <w:r>
              <w:rPr>
                <w:rFonts w:eastAsiaTheme="minorHAnsi"/>
              </w:rPr>
              <w:t xml:space="preserve">s ēku energoefektivitātes jomā. </w:t>
            </w:r>
            <w:r w:rsidR="00164BCE" w:rsidRPr="006A6D89">
              <w:rPr>
                <w:rFonts w:eastAsiaTheme="minorHAnsi"/>
                <w:b/>
              </w:rPr>
              <w:t>Lai varētu izpildīti minēto kritēriju, n</w:t>
            </w:r>
            <w:r w:rsidRPr="006A6D89">
              <w:rPr>
                <w:rFonts w:eastAsiaTheme="minorHAnsi"/>
                <w:b/>
              </w:rPr>
              <w:t xml:space="preserve">eatkarīgam ekspertam ēku energoefektivitātes jomā ir jānovērtē </w:t>
            </w:r>
            <w:r w:rsidR="00164BCE" w:rsidRPr="006A6D89">
              <w:rPr>
                <w:rFonts w:eastAsiaTheme="minorHAnsi"/>
                <w:b/>
              </w:rPr>
              <w:t xml:space="preserve">plānotais </w:t>
            </w:r>
            <w:r w:rsidRPr="006A6D89">
              <w:rPr>
                <w:rFonts w:eastAsiaTheme="minorHAnsi"/>
                <w:b/>
              </w:rPr>
              <w:t xml:space="preserve">ēkas siltuma enerģijas patēriņš </w:t>
            </w:r>
            <w:r w:rsidR="00164BCE" w:rsidRPr="006A6D89">
              <w:rPr>
                <w:rFonts w:eastAsiaTheme="minorHAnsi"/>
                <w:b/>
              </w:rPr>
              <w:t>ar un bez ventilācijas sistēmas ar rekuperāciju.</w:t>
            </w:r>
            <w:r w:rsidR="00164BCE">
              <w:rPr>
                <w:rFonts w:eastAsiaTheme="minorHAnsi"/>
              </w:rPr>
              <w:t xml:space="preserve"> </w:t>
            </w:r>
          </w:p>
          <w:p w14:paraId="29F91140" w14:textId="4CD83DBF" w:rsidR="00390B7F" w:rsidRDefault="00913EAF" w:rsidP="00164BCE">
            <w:pPr>
              <w:jc w:val="both"/>
              <w:rPr>
                <w:rFonts w:eastAsiaTheme="minorHAnsi"/>
              </w:rPr>
            </w:pPr>
            <w:r>
              <w:rPr>
                <w:rFonts w:eastAsiaTheme="minorHAnsi"/>
              </w:rPr>
              <w:t xml:space="preserve">Projekta iesniegumam jāpievieno </w:t>
            </w:r>
            <w:r w:rsidRPr="007419C3">
              <w:rPr>
                <w:rFonts w:eastAsiaTheme="minorHAnsi"/>
              </w:rPr>
              <w:t>n</w:t>
            </w:r>
            <w:r w:rsidRPr="00913EAF">
              <w:rPr>
                <w:rFonts w:eastAsiaTheme="minorHAnsi"/>
              </w:rPr>
              <w:t>eatkarīga eksperta</w:t>
            </w:r>
            <w:r w:rsidRPr="007419C3">
              <w:rPr>
                <w:rFonts w:eastAsiaTheme="minorHAnsi"/>
              </w:rPr>
              <w:t xml:space="preserve"> ēku energoefektivitātes jomā</w:t>
            </w:r>
            <w:r>
              <w:rPr>
                <w:rFonts w:eastAsiaTheme="minorHAnsi"/>
              </w:rPr>
              <w:t xml:space="preserve"> parakstītu aprēķinu</w:t>
            </w:r>
            <w:r w:rsidR="00EA317D">
              <w:rPr>
                <w:rFonts w:eastAsiaTheme="minorHAnsi"/>
              </w:rPr>
              <w:t xml:space="preserve"> (ar skaidrojumiem)</w:t>
            </w:r>
            <w:r w:rsidR="002A52EC">
              <w:rPr>
                <w:rFonts w:eastAsiaTheme="minorHAnsi"/>
              </w:rPr>
              <w:t xml:space="preserve"> par situāciju ar rekuperāciju un situāciju bez rekuperācijas</w:t>
            </w:r>
            <w:r>
              <w:rPr>
                <w:rFonts w:eastAsiaTheme="minorHAnsi"/>
              </w:rPr>
              <w:t>.</w:t>
            </w:r>
            <w:r w:rsidR="007419C3">
              <w:rPr>
                <w:rFonts w:eastAsiaTheme="minorHAnsi"/>
              </w:rPr>
              <w:t xml:space="preserve"> </w:t>
            </w:r>
            <w:r w:rsidR="00164BCE">
              <w:rPr>
                <w:rFonts w:eastAsiaTheme="minorHAnsi"/>
              </w:rPr>
              <w:t>Piemēram</w:t>
            </w:r>
            <w:r w:rsidR="006A6D89">
              <w:rPr>
                <w:rFonts w:eastAsiaTheme="minorHAnsi"/>
              </w:rPr>
              <w:t>,</w:t>
            </w:r>
            <w:r w:rsidR="00EA317D">
              <w:rPr>
                <w:rFonts w:eastAsiaTheme="minorHAnsi"/>
              </w:rPr>
              <w:t xml:space="preserve"> situācijā bez atsevišķas rekuperācijas siltumuzskaites un </w:t>
            </w:r>
            <w:r w:rsidR="006A6D89">
              <w:rPr>
                <w:rFonts w:eastAsiaTheme="minorHAnsi"/>
              </w:rPr>
              <w:t xml:space="preserve"> pieņemot, ka visu siltumenerģiju saražo no atjaunojamiem energoresursiem</w:t>
            </w:r>
            <w:r w:rsidR="00164BCE">
              <w:rPr>
                <w:rFonts w:eastAsiaTheme="minorHAnsi"/>
              </w:rPr>
              <w:t>:</w:t>
            </w:r>
          </w:p>
          <w:tbl>
            <w:tblPr>
              <w:tblStyle w:val="TableGrid"/>
              <w:tblW w:w="0" w:type="auto"/>
              <w:tblLayout w:type="fixed"/>
              <w:tblLook w:val="04A0" w:firstRow="1" w:lastRow="0" w:firstColumn="1" w:lastColumn="0" w:noHBand="0" w:noVBand="1"/>
            </w:tblPr>
            <w:tblGrid>
              <w:gridCol w:w="5779"/>
              <w:gridCol w:w="1377"/>
            </w:tblGrid>
            <w:tr w:rsidR="00164BCE" w14:paraId="0CD8201A" w14:textId="77777777" w:rsidTr="00164BCE">
              <w:tc>
                <w:tcPr>
                  <w:tcW w:w="5779" w:type="dxa"/>
                </w:tcPr>
                <w:p w14:paraId="166B9987" w14:textId="77777777" w:rsidR="00164BCE" w:rsidRDefault="00164BCE" w:rsidP="00164BCE">
                  <w:pPr>
                    <w:jc w:val="both"/>
                    <w:rPr>
                      <w:rFonts w:eastAsiaTheme="minorHAnsi"/>
                    </w:rPr>
                  </w:pPr>
                </w:p>
              </w:tc>
              <w:tc>
                <w:tcPr>
                  <w:tcW w:w="1377" w:type="dxa"/>
                </w:tcPr>
                <w:p w14:paraId="38ED90C8" w14:textId="0C93AE36" w:rsidR="00164BCE" w:rsidRDefault="00164BCE" w:rsidP="00164BCE">
                  <w:pPr>
                    <w:jc w:val="center"/>
                    <w:rPr>
                      <w:rFonts w:eastAsiaTheme="minorHAnsi"/>
                    </w:rPr>
                  </w:pPr>
                  <w:r>
                    <w:rPr>
                      <w:rFonts w:eastAsiaTheme="minorHAnsi"/>
                    </w:rPr>
                    <w:t>kWh/m</w:t>
                  </w:r>
                  <w:r w:rsidRPr="00164BCE">
                    <w:rPr>
                      <w:rFonts w:eastAsiaTheme="minorHAnsi"/>
                      <w:vertAlign w:val="superscript"/>
                    </w:rPr>
                    <w:t xml:space="preserve">2 </w:t>
                  </w:r>
                  <w:r>
                    <w:rPr>
                      <w:rFonts w:eastAsiaTheme="minorHAnsi"/>
                    </w:rPr>
                    <w:t>gadā</w:t>
                  </w:r>
                </w:p>
              </w:tc>
            </w:tr>
            <w:tr w:rsidR="00164BCE" w14:paraId="6A7C1997" w14:textId="77777777" w:rsidTr="00164BCE">
              <w:tc>
                <w:tcPr>
                  <w:tcW w:w="5779" w:type="dxa"/>
                </w:tcPr>
                <w:p w14:paraId="5A5437F2" w14:textId="1FCAB2C9" w:rsidR="00164BCE" w:rsidRDefault="00164BCE" w:rsidP="008A7814">
                  <w:pPr>
                    <w:jc w:val="both"/>
                    <w:rPr>
                      <w:rFonts w:eastAsiaTheme="minorHAnsi"/>
                    </w:rPr>
                  </w:pPr>
                  <w:r>
                    <w:rPr>
                      <w:rFonts w:eastAsiaTheme="minorHAnsi"/>
                    </w:rPr>
                    <w:t>Ēkas bez rekuperācijas – enerģijas patēriņa novērtējums:</w:t>
                  </w:r>
                </w:p>
              </w:tc>
              <w:tc>
                <w:tcPr>
                  <w:tcW w:w="1377" w:type="dxa"/>
                </w:tcPr>
                <w:p w14:paraId="6BF32916" w14:textId="5FF67281" w:rsidR="00164BCE" w:rsidRDefault="00164BCE" w:rsidP="00164BCE">
                  <w:pPr>
                    <w:jc w:val="center"/>
                    <w:rPr>
                      <w:rFonts w:eastAsiaTheme="minorHAnsi"/>
                    </w:rPr>
                  </w:pPr>
                </w:p>
              </w:tc>
            </w:tr>
            <w:tr w:rsidR="00164BCE" w14:paraId="3000AC97" w14:textId="77777777" w:rsidTr="00164BCE">
              <w:tc>
                <w:tcPr>
                  <w:tcW w:w="5779" w:type="dxa"/>
                </w:tcPr>
                <w:p w14:paraId="639FAB8C" w14:textId="716E0A90" w:rsidR="00164BCE" w:rsidRDefault="00164BCE" w:rsidP="00164BCE">
                  <w:pPr>
                    <w:jc w:val="both"/>
                    <w:rPr>
                      <w:rFonts w:eastAsiaTheme="minorHAnsi"/>
                    </w:rPr>
                  </w:pPr>
                  <w:r>
                    <w:rPr>
                      <w:rFonts w:eastAsiaTheme="minorHAnsi"/>
                    </w:rPr>
                    <w:t>Apkure</w:t>
                  </w:r>
                </w:p>
              </w:tc>
              <w:tc>
                <w:tcPr>
                  <w:tcW w:w="1377" w:type="dxa"/>
                </w:tcPr>
                <w:p w14:paraId="7F851843" w14:textId="3EAAB31F" w:rsidR="00164BCE" w:rsidRDefault="00164BCE" w:rsidP="00164BCE">
                  <w:pPr>
                    <w:jc w:val="center"/>
                    <w:rPr>
                      <w:rFonts w:eastAsiaTheme="minorHAnsi"/>
                    </w:rPr>
                  </w:pPr>
                  <w:r>
                    <w:rPr>
                      <w:rFonts w:eastAsiaTheme="minorHAnsi"/>
                    </w:rPr>
                    <w:t>25</w:t>
                  </w:r>
                </w:p>
              </w:tc>
            </w:tr>
            <w:tr w:rsidR="00164BCE" w14:paraId="7466D4E7" w14:textId="77777777" w:rsidTr="00164BCE">
              <w:tc>
                <w:tcPr>
                  <w:tcW w:w="5779" w:type="dxa"/>
                </w:tcPr>
                <w:p w14:paraId="24E9E610" w14:textId="57AA6327" w:rsidR="00164BCE" w:rsidRDefault="00164BCE" w:rsidP="00164BCE">
                  <w:pPr>
                    <w:jc w:val="both"/>
                    <w:rPr>
                      <w:rFonts w:eastAsiaTheme="minorHAnsi"/>
                    </w:rPr>
                  </w:pPr>
                  <w:r>
                    <w:rPr>
                      <w:rFonts w:eastAsiaTheme="minorHAnsi"/>
                    </w:rPr>
                    <w:t>Karstais ūdens</w:t>
                  </w:r>
                </w:p>
              </w:tc>
              <w:tc>
                <w:tcPr>
                  <w:tcW w:w="1377" w:type="dxa"/>
                </w:tcPr>
                <w:p w14:paraId="3C2BB90C" w14:textId="35A691F1" w:rsidR="00164BCE" w:rsidRDefault="00164BCE" w:rsidP="00164BCE">
                  <w:pPr>
                    <w:jc w:val="center"/>
                    <w:rPr>
                      <w:rFonts w:eastAsiaTheme="minorHAnsi"/>
                    </w:rPr>
                  </w:pPr>
                  <w:r>
                    <w:rPr>
                      <w:rFonts w:eastAsiaTheme="minorHAnsi"/>
                    </w:rPr>
                    <w:t>15</w:t>
                  </w:r>
                </w:p>
              </w:tc>
            </w:tr>
            <w:tr w:rsidR="00164BCE" w14:paraId="0F2185CC" w14:textId="77777777" w:rsidTr="00164BCE">
              <w:tc>
                <w:tcPr>
                  <w:tcW w:w="5779" w:type="dxa"/>
                </w:tcPr>
                <w:p w14:paraId="6345C14F" w14:textId="1EC5A7FF" w:rsidR="00164BCE" w:rsidRDefault="00164BCE" w:rsidP="008A7814">
                  <w:pPr>
                    <w:jc w:val="both"/>
                    <w:rPr>
                      <w:rFonts w:eastAsiaTheme="minorHAnsi"/>
                    </w:rPr>
                  </w:pPr>
                  <w:r>
                    <w:rPr>
                      <w:rFonts w:eastAsiaTheme="minorHAnsi"/>
                    </w:rPr>
                    <w:t>Ēkas ar rekuperāciju – enerģijas patēriņa novērtējums:</w:t>
                  </w:r>
                </w:p>
              </w:tc>
              <w:tc>
                <w:tcPr>
                  <w:tcW w:w="1377" w:type="dxa"/>
                </w:tcPr>
                <w:p w14:paraId="0615D88E" w14:textId="77777777" w:rsidR="00164BCE" w:rsidRDefault="00164BCE" w:rsidP="00164BCE">
                  <w:pPr>
                    <w:jc w:val="center"/>
                    <w:rPr>
                      <w:rFonts w:eastAsiaTheme="minorHAnsi"/>
                    </w:rPr>
                  </w:pPr>
                </w:p>
              </w:tc>
            </w:tr>
            <w:tr w:rsidR="00164BCE" w14:paraId="126F4D9B" w14:textId="77777777" w:rsidTr="00164BCE">
              <w:tc>
                <w:tcPr>
                  <w:tcW w:w="5779" w:type="dxa"/>
                </w:tcPr>
                <w:p w14:paraId="14169E28" w14:textId="4B550502" w:rsidR="00164BCE" w:rsidRDefault="00164BCE" w:rsidP="00164BCE">
                  <w:pPr>
                    <w:jc w:val="both"/>
                    <w:rPr>
                      <w:rFonts w:eastAsiaTheme="minorHAnsi"/>
                    </w:rPr>
                  </w:pPr>
                  <w:r>
                    <w:rPr>
                      <w:rFonts w:eastAsiaTheme="minorHAnsi"/>
                    </w:rPr>
                    <w:t>Apkure</w:t>
                  </w:r>
                </w:p>
              </w:tc>
              <w:tc>
                <w:tcPr>
                  <w:tcW w:w="1377" w:type="dxa"/>
                </w:tcPr>
                <w:p w14:paraId="42BE1D1A" w14:textId="66286669" w:rsidR="00164BCE" w:rsidRDefault="00164BCE" w:rsidP="00164BCE">
                  <w:pPr>
                    <w:jc w:val="center"/>
                    <w:rPr>
                      <w:rFonts w:eastAsiaTheme="minorHAnsi"/>
                    </w:rPr>
                  </w:pPr>
                  <w:r>
                    <w:rPr>
                      <w:rFonts w:eastAsiaTheme="minorHAnsi"/>
                    </w:rPr>
                    <w:t>20</w:t>
                  </w:r>
                </w:p>
              </w:tc>
            </w:tr>
            <w:tr w:rsidR="00164BCE" w14:paraId="465891B5" w14:textId="77777777" w:rsidTr="00164BCE">
              <w:tc>
                <w:tcPr>
                  <w:tcW w:w="5779" w:type="dxa"/>
                </w:tcPr>
                <w:p w14:paraId="35EEA593" w14:textId="08F0BC7D" w:rsidR="00164BCE" w:rsidRDefault="00164BCE" w:rsidP="00164BCE">
                  <w:pPr>
                    <w:jc w:val="both"/>
                    <w:rPr>
                      <w:rFonts w:eastAsiaTheme="minorHAnsi"/>
                    </w:rPr>
                  </w:pPr>
                  <w:r>
                    <w:rPr>
                      <w:rFonts w:eastAsiaTheme="minorHAnsi"/>
                    </w:rPr>
                    <w:t>Karstais ūdens</w:t>
                  </w:r>
                </w:p>
              </w:tc>
              <w:tc>
                <w:tcPr>
                  <w:tcW w:w="1377" w:type="dxa"/>
                </w:tcPr>
                <w:p w14:paraId="1F52CB93" w14:textId="167BB98A" w:rsidR="00164BCE" w:rsidRDefault="00164BCE" w:rsidP="00164BCE">
                  <w:pPr>
                    <w:jc w:val="center"/>
                    <w:rPr>
                      <w:rFonts w:eastAsiaTheme="minorHAnsi"/>
                    </w:rPr>
                  </w:pPr>
                  <w:r>
                    <w:rPr>
                      <w:rFonts w:eastAsiaTheme="minorHAnsi"/>
                    </w:rPr>
                    <w:t>15</w:t>
                  </w:r>
                </w:p>
              </w:tc>
            </w:tr>
          </w:tbl>
          <w:p w14:paraId="36EDACD3" w14:textId="77777777" w:rsidR="00164BCE" w:rsidRDefault="00164BCE" w:rsidP="00164BCE">
            <w:pPr>
              <w:jc w:val="both"/>
              <w:rPr>
                <w:rFonts w:eastAsiaTheme="minorHAnsi"/>
              </w:rPr>
            </w:pPr>
          </w:p>
          <w:p w14:paraId="3058B32E" w14:textId="03B459C4" w:rsidR="006A6D89" w:rsidRDefault="006A6D89" w:rsidP="00164BCE">
            <w:pPr>
              <w:jc w:val="both"/>
              <w:rPr>
                <w:color w:val="000000"/>
              </w:rPr>
            </w:pPr>
            <w:r>
              <w:rPr>
                <w:color w:val="000000"/>
              </w:rPr>
              <w:t>Kopējais ēkas siltumenerģijas apjoms, kas</w:t>
            </w:r>
            <w:r w:rsidRPr="00390B7F">
              <w:rPr>
                <w:color w:val="000000"/>
              </w:rPr>
              <w:t xml:space="preserve"> tiks iegūts,</w:t>
            </w:r>
            <w:r>
              <w:rPr>
                <w:color w:val="000000"/>
              </w:rPr>
              <w:t xml:space="preserve"> izmantojot ventilācijas sistēmu</w:t>
            </w:r>
            <w:r w:rsidRPr="00390B7F">
              <w:rPr>
                <w:color w:val="000000"/>
              </w:rPr>
              <w:t xml:space="preserve"> ar siltuma rekuperāciju</w:t>
            </w:r>
            <w:r>
              <w:rPr>
                <w:color w:val="000000"/>
              </w:rPr>
              <w:t xml:space="preserve"> tad būs:</w:t>
            </w:r>
          </w:p>
          <w:p w14:paraId="537862F6" w14:textId="30C9D60A" w:rsidR="006A6D89" w:rsidRPr="006A6D89" w:rsidRDefault="00953E99" w:rsidP="00164BCE">
            <w:pPr>
              <w:jc w:val="both"/>
              <w:rPr>
                <w:color w:val="000000"/>
              </w:rPr>
            </w:pPr>
            <m:oMathPara>
              <m:oMath>
                <m:f>
                  <m:fPr>
                    <m:ctrlPr>
                      <w:rPr>
                        <w:rFonts w:ascii="Cambria Math" w:eastAsiaTheme="minorHAnsi" w:hAnsi="Cambria Math"/>
                        <w:i/>
                      </w:rPr>
                    </m:ctrlPr>
                  </m:fPr>
                  <m:num>
                    <m:d>
                      <m:dPr>
                        <m:ctrlPr>
                          <w:rPr>
                            <w:rFonts w:ascii="Cambria Math" w:eastAsiaTheme="minorHAnsi" w:hAnsi="Cambria Math"/>
                            <w:i/>
                          </w:rPr>
                        </m:ctrlPr>
                      </m:dPr>
                      <m:e>
                        <m:r>
                          <w:rPr>
                            <w:rFonts w:ascii="Cambria Math" w:eastAsiaTheme="minorHAnsi" w:hAnsi="Cambria Math"/>
                          </w:rPr>
                          <m:t>25+15</m:t>
                        </m:r>
                      </m:e>
                    </m:d>
                    <m:r>
                      <w:rPr>
                        <w:rFonts w:ascii="Cambria Math" w:eastAsiaTheme="minorHAnsi" w:hAnsi="Cambria Math"/>
                      </w:rPr>
                      <m:t>-(20+15)</m:t>
                    </m:r>
                  </m:num>
                  <m:den>
                    <m:r>
                      <w:rPr>
                        <w:rFonts w:ascii="Cambria Math" w:eastAsiaTheme="minorHAnsi" w:hAnsi="Cambria Math"/>
                      </w:rPr>
                      <m:t>(25+15)</m:t>
                    </m:r>
                  </m:den>
                </m:f>
                <m:r>
                  <w:rPr>
                    <w:rFonts w:ascii="Cambria Math" w:eastAsiaTheme="minorHAnsi" w:hAnsi="Cambria Math"/>
                  </w:rPr>
                  <m:t>×100%=</m:t>
                </m:r>
                <m:r>
                  <m:rPr>
                    <m:sty m:val="bi"/>
                  </m:rPr>
                  <w:rPr>
                    <w:rFonts w:ascii="Cambria Math" w:eastAsiaTheme="minorHAnsi" w:hAnsi="Cambria Math"/>
                  </w:rPr>
                  <m:t>12.5%</m:t>
                </m:r>
              </m:oMath>
            </m:oMathPara>
          </w:p>
        </w:tc>
      </w:tr>
      <w:tr w:rsidR="00390B7F" w:rsidRPr="007B520A" w14:paraId="1CE0B65F" w14:textId="77777777" w:rsidTr="00F6138F">
        <w:trPr>
          <w:cantSplit/>
        </w:trPr>
        <w:tc>
          <w:tcPr>
            <w:tcW w:w="645" w:type="dxa"/>
          </w:tcPr>
          <w:p w14:paraId="68DEE560" w14:textId="531791CD" w:rsidR="00390B7F" w:rsidRDefault="00390B7F" w:rsidP="00AB59BD">
            <w:pPr>
              <w:jc w:val="center"/>
            </w:pPr>
            <w:r>
              <w:lastRenderedPageBreak/>
              <w:t>18.</w:t>
            </w:r>
          </w:p>
        </w:tc>
        <w:tc>
          <w:tcPr>
            <w:tcW w:w="6754" w:type="dxa"/>
          </w:tcPr>
          <w:p w14:paraId="000EE5E8" w14:textId="77777777" w:rsidR="00390B7F" w:rsidRDefault="00390B7F" w:rsidP="00390B7F">
            <w:pPr>
              <w:autoSpaceDE w:val="0"/>
              <w:autoSpaceDN w:val="0"/>
              <w:jc w:val="both"/>
              <w:rPr>
                <w:color w:val="000000"/>
              </w:rPr>
            </w:pPr>
            <w:r>
              <w:rPr>
                <w:color w:val="000000"/>
              </w:rPr>
              <w:t xml:space="preserve">Kritērijs: </w:t>
            </w:r>
            <w:r w:rsidRPr="00390B7F">
              <w:rPr>
                <w:color w:val="000000"/>
              </w:rPr>
              <w:t xml:space="preserve">“Inovāciju novērtējums Latvijā” </w:t>
            </w:r>
          </w:p>
          <w:p w14:paraId="4A128684" w14:textId="1B13A2C5" w:rsidR="00390B7F" w:rsidRPr="00445211" w:rsidRDefault="00390B7F" w:rsidP="00390B7F">
            <w:pPr>
              <w:autoSpaceDE w:val="0"/>
              <w:autoSpaceDN w:val="0"/>
              <w:jc w:val="both"/>
              <w:rPr>
                <w:color w:val="000000"/>
              </w:rPr>
            </w:pPr>
            <w:r>
              <w:rPr>
                <w:color w:val="000000"/>
              </w:rPr>
              <w:t>V</w:t>
            </w:r>
            <w:r w:rsidRPr="00390B7F">
              <w:rPr>
                <w:color w:val="000000"/>
              </w:rPr>
              <w:t>ai pretendents atbildīs augstākajam punktu kritērijam, ja projektā plānotā inovācija šobrīd ir vēl izstrādes stadijā (būs gatava lietošanai līdz šī gada beigām)?</w:t>
            </w:r>
          </w:p>
        </w:tc>
        <w:tc>
          <w:tcPr>
            <w:tcW w:w="7227" w:type="dxa"/>
          </w:tcPr>
          <w:p w14:paraId="43BF4C58" w14:textId="6B37D09A" w:rsidR="00390B7F" w:rsidRPr="00390B7F" w:rsidRDefault="00390B7F" w:rsidP="004267C8">
            <w:pPr>
              <w:jc w:val="both"/>
              <w:rPr>
                <w:rFonts w:eastAsiaTheme="minorHAnsi"/>
              </w:rPr>
            </w:pPr>
            <w:r w:rsidRPr="00357556">
              <w:rPr>
                <w:rFonts w:eastAsiaTheme="minorHAnsi"/>
              </w:rPr>
              <w:t>M</w:t>
            </w:r>
            <w:r>
              <w:rPr>
                <w:rFonts w:eastAsiaTheme="minorHAnsi"/>
              </w:rPr>
              <w:t xml:space="preserve">K noteikumi Nr. 418 </w:t>
            </w:r>
            <w:r w:rsidRPr="008F5A12">
              <w:rPr>
                <w:rFonts w:eastAsiaTheme="minorHAnsi"/>
                <w:b/>
              </w:rPr>
              <w:t>nenosaka prasības</w:t>
            </w:r>
            <w:r>
              <w:rPr>
                <w:rFonts w:eastAsiaTheme="minorHAnsi"/>
              </w:rPr>
              <w:t xml:space="preserve"> par inovāciju izstrādes stadiju taču</w:t>
            </w:r>
            <w:r w:rsidR="004C78B1">
              <w:rPr>
                <w:rFonts w:eastAsiaTheme="minorHAnsi"/>
              </w:rPr>
              <w:t>, ņemot vērā to, ka līgumā par projekta īstenošanu</w:t>
            </w:r>
            <w:r>
              <w:rPr>
                <w:rFonts w:eastAsiaTheme="minorHAnsi"/>
              </w:rPr>
              <w:t xml:space="preserve"> </w:t>
            </w:r>
            <w:r w:rsidR="004C78B1">
              <w:rPr>
                <w:rFonts w:eastAsiaTheme="minorHAnsi"/>
              </w:rPr>
              <w:t xml:space="preserve">atbilstoši MK noteikumu </w:t>
            </w:r>
            <w:r w:rsidR="004267C8">
              <w:rPr>
                <w:rFonts w:eastAsiaTheme="minorHAnsi"/>
              </w:rPr>
              <w:t>N</w:t>
            </w:r>
            <w:r w:rsidR="00884F59">
              <w:rPr>
                <w:rFonts w:eastAsiaTheme="minorHAnsi"/>
              </w:rPr>
              <w:t>r. </w:t>
            </w:r>
            <w:r w:rsidR="004C78B1">
              <w:rPr>
                <w:rFonts w:eastAsiaTheme="minorHAnsi"/>
              </w:rPr>
              <w:t xml:space="preserve">418 57.5 punktam jāietver arī projekta aktivitātes, to īstenošanas laiku un sasniedzamo rezultātu, </w:t>
            </w:r>
            <w:r>
              <w:rPr>
                <w:rFonts w:eastAsiaTheme="minorHAnsi"/>
              </w:rPr>
              <w:t xml:space="preserve">projekta iesniegumā ir jānorāda reāli </w:t>
            </w:r>
            <w:r w:rsidR="004C78B1">
              <w:rPr>
                <w:rFonts w:eastAsiaTheme="minorHAnsi"/>
              </w:rPr>
              <w:t xml:space="preserve">īstenojamas </w:t>
            </w:r>
            <w:r>
              <w:rPr>
                <w:rFonts w:eastAsiaTheme="minorHAnsi"/>
              </w:rPr>
              <w:t>aktivitātes</w:t>
            </w:r>
            <w:r w:rsidR="001D4616">
              <w:rPr>
                <w:rFonts w:eastAsiaTheme="minorHAnsi"/>
              </w:rPr>
              <w:t>. F</w:t>
            </w:r>
            <w:r w:rsidR="001D4616" w:rsidRPr="001D4616">
              <w:rPr>
                <w:rFonts w:eastAsiaTheme="minorHAnsi"/>
              </w:rPr>
              <w:t>inansējuma saņēmējs ir atbildīgs par projekta līgumā noteikto rezultātu sasniegšanu paredzētajā laikā.</w:t>
            </w:r>
            <w:r w:rsidR="004267C8">
              <w:rPr>
                <w:rFonts w:eastAsiaTheme="minorHAnsi"/>
              </w:rPr>
              <w:t xml:space="preserve"> </w:t>
            </w:r>
            <w:r w:rsidR="004267C8" w:rsidRPr="007419C3">
              <w:rPr>
                <w:rFonts w:eastAsiaTheme="minorHAnsi"/>
              </w:rPr>
              <w:t>Maksimālais punktu skaits</w:t>
            </w:r>
            <w:r w:rsidR="004267C8">
              <w:rPr>
                <w:rFonts w:eastAsiaTheme="minorHAnsi"/>
              </w:rPr>
              <w:t xml:space="preserve"> kvalitātes vērtēšanas kritērijā Nr.13 “Inovācijas novērtējums Latvijā” tiks piešķirts projektam, ja </w:t>
            </w:r>
            <w:r w:rsidR="004267C8" w:rsidRPr="004267C8">
              <w:rPr>
                <w:rFonts w:eastAsiaTheme="minorHAnsi"/>
              </w:rPr>
              <w:t>projekta ietvaros uzstādāmā tehnoloģija saskaņā ar publiski pieejamo informāciju līdz šim nav uzstādīta Latvijā</w:t>
            </w:r>
          </w:p>
        </w:tc>
      </w:tr>
      <w:tr w:rsidR="00884F59" w:rsidRPr="00953E99" w14:paraId="73C8BFEA" w14:textId="77777777" w:rsidTr="00884F59">
        <w:trPr>
          <w:cantSplit/>
          <w:trHeight w:val="70"/>
        </w:trPr>
        <w:tc>
          <w:tcPr>
            <w:tcW w:w="645" w:type="dxa"/>
          </w:tcPr>
          <w:p w14:paraId="6FA4D081" w14:textId="72182953" w:rsidR="00884F59" w:rsidRDefault="00884F59" w:rsidP="00AB59BD">
            <w:pPr>
              <w:jc w:val="center"/>
            </w:pPr>
            <w:r>
              <w:t>19.</w:t>
            </w:r>
          </w:p>
        </w:tc>
        <w:tc>
          <w:tcPr>
            <w:tcW w:w="6754" w:type="dxa"/>
          </w:tcPr>
          <w:p w14:paraId="20DFD376" w14:textId="4F57B06D" w:rsidR="00884F59" w:rsidRDefault="00884F59" w:rsidP="00390B7F">
            <w:pPr>
              <w:autoSpaceDE w:val="0"/>
              <w:autoSpaceDN w:val="0"/>
              <w:jc w:val="both"/>
              <w:rPr>
                <w:color w:val="000000"/>
              </w:rPr>
            </w:pPr>
            <w:r w:rsidRPr="00884F59">
              <w:rPr>
                <w:color w:val="000000"/>
              </w:rPr>
              <w:t>Vai projektā kā neattiecināmas var iekļaut piebraucamā ceļa un autostāvvietas izbūves izmaksas?</w:t>
            </w:r>
          </w:p>
        </w:tc>
        <w:tc>
          <w:tcPr>
            <w:tcW w:w="7227" w:type="dxa"/>
          </w:tcPr>
          <w:p w14:paraId="170A5390" w14:textId="41C8BDF5" w:rsidR="003261F2" w:rsidRPr="00953E99" w:rsidRDefault="00D81155" w:rsidP="00953E99">
            <w:pPr>
              <w:jc w:val="both"/>
              <w:rPr>
                <w:color w:val="000000"/>
              </w:rPr>
            </w:pPr>
            <w:r w:rsidRPr="00953E99">
              <w:rPr>
                <w:color w:val="000000"/>
              </w:rPr>
              <w:t>P</w:t>
            </w:r>
            <w:r w:rsidR="003261F2" w:rsidRPr="00953E99">
              <w:rPr>
                <w:color w:val="000000"/>
              </w:rPr>
              <w:t>iebraucamā ceļa un autostāvvietas izbūves izmaksas</w:t>
            </w:r>
            <w:r w:rsidRPr="00953E99">
              <w:rPr>
                <w:color w:val="000000"/>
              </w:rPr>
              <w:t xml:space="preserve"> var iekļaut</w:t>
            </w:r>
            <w:r w:rsidR="003261F2" w:rsidRPr="00953E99">
              <w:rPr>
                <w:color w:val="000000"/>
              </w:rPr>
              <w:t xml:space="preserve"> projekta neattiecināmajās izmaksās, ja tās </w:t>
            </w:r>
            <w:r w:rsidR="008C750D" w:rsidRPr="00953E99">
              <w:rPr>
                <w:color w:val="000000"/>
              </w:rPr>
              <w:t xml:space="preserve">ir saistītas ar projekta mērķi un </w:t>
            </w:r>
            <w:r w:rsidR="003261F2" w:rsidRPr="00953E99">
              <w:rPr>
                <w:color w:val="000000"/>
              </w:rPr>
              <w:t xml:space="preserve">sniedz ieguldījumu projekta un konkursa mērķa </w:t>
            </w:r>
            <w:r w:rsidR="00B90987" w:rsidRPr="00953E99">
              <w:rPr>
                <w:color w:val="000000"/>
              </w:rPr>
              <w:t>sasniegšanai</w:t>
            </w:r>
            <w:r w:rsidR="008C750D" w:rsidRPr="00953E99">
              <w:rPr>
                <w:color w:val="000000"/>
              </w:rPr>
              <w:t>.</w:t>
            </w:r>
          </w:p>
          <w:p w14:paraId="490C7159" w14:textId="77777777" w:rsidR="00D81155" w:rsidRPr="00953E99" w:rsidRDefault="00D81155">
            <w:pPr>
              <w:pStyle w:val="Default"/>
              <w:jc w:val="both"/>
              <w:rPr>
                <w:szCs w:val="22"/>
              </w:rPr>
            </w:pPr>
            <w:r w:rsidRPr="00953E99">
              <w:rPr>
                <w:szCs w:val="22"/>
              </w:rPr>
              <w:t xml:space="preserve">Vienlaikus lūdzam ņemt vērā, ka neattiecināmās izmaksas, kuras tiek iekļautas projekta iesniegumā, tiks kontrolētas projekta īstenošanas laikā, t.i., tiks vērtēts tas, kādā mērā neattiecināmo izmaksu veikšana vai neveikšana ietekmē attiecināmās izmaksas </w:t>
            </w:r>
            <w:bookmarkStart w:id="5" w:name="_GoBack"/>
            <w:bookmarkEnd w:id="5"/>
            <w:r w:rsidRPr="00953E99">
              <w:rPr>
                <w:szCs w:val="22"/>
              </w:rPr>
              <w:t>un projekta mērķa sasniegšanu.</w:t>
            </w:r>
          </w:p>
          <w:p w14:paraId="45C00D3D" w14:textId="63D30206" w:rsidR="00884F59" w:rsidRPr="00953E99" w:rsidRDefault="00D81155" w:rsidP="00884F59">
            <w:pPr>
              <w:jc w:val="both"/>
              <w:rPr>
                <w:color w:val="000000"/>
              </w:rPr>
            </w:pPr>
            <w:r w:rsidRPr="00953E99">
              <w:rPr>
                <w:color w:val="000000"/>
              </w:rPr>
              <w:t>Projekta iesniegumā aicinām norādīt tikai tādas neattiecināmās izmaksas, kuras ir tieši saistītas ar attiecināmajām izmaksām, obligāti ir veicamas vienlaikus ar attiecināmajām izmaksām un kuru veikšana nodrošina projekta rezultātu sasniegšanu un nerada papildus riskus projekta īstenošanai noteiktajā termiņā.</w:t>
            </w:r>
          </w:p>
        </w:tc>
      </w:tr>
    </w:tbl>
    <w:p w14:paraId="22910EFA" w14:textId="3D5D3459" w:rsidR="00A26A07" w:rsidRDefault="00A26A07"/>
    <w:sectPr w:rsidR="00A26A07" w:rsidSect="00AB59BD">
      <w:headerReference w:type="default" r:id="rId1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7CD00" w14:textId="77777777" w:rsidR="00B0598D" w:rsidRDefault="00B0598D" w:rsidP="00AB59BD">
      <w:r>
        <w:separator/>
      </w:r>
    </w:p>
  </w:endnote>
  <w:endnote w:type="continuationSeparator" w:id="0">
    <w:p w14:paraId="437097A8" w14:textId="77777777" w:rsidR="00B0598D" w:rsidRDefault="00B0598D" w:rsidP="00AB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FEFE5" w14:textId="77777777" w:rsidR="00B0598D" w:rsidRDefault="00B0598D" w:rsidP="00AB59BD">
      <w:r>
        <w:separator/>
      </w:r>
    </w:p>
  </w:footnote>
  <w:footnote w:type="continuationSeparator" w:id="0">
    <w:p w14:paraId="2A72E1DC" w14:textId="77777777" w:rsidR="00B0598D" w:rsidRDefault="00B0598D" w:rsidP="00AB5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77972" w14:textId="77777777" w:rsidR="00AB59BD" w:rsidRDefault="00AB59BD" w:rsidP="00AB59BD">
    <w:pPr>
      <w:pStyle w:val="Header"/>
      <w:jc w:val="right"/>
      <w:rPr>
        <w:noProof/>
        <w:lang w:eastAsia="lv-LV"/>
      </w:rPr>
    </w:pPr>
  </w:p>
  <w:p w14:paraId="1E1AB80C" w14:textId="77777777" w:rsidR="00AB49B6" w:rsidRDefault="00AB49B6" w:rsidP="00AB59B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C59"/>
    <w:multiLevelType w:val="hybridMultilevel"/>
    <w:tmpl w:val="31ACF0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4D6696A"/>
    <w:multiLevelType w:val="hybridMultilevel"/>
    <w:tmpl w:val="B97EBF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EA35BB0"/>
    <w:multiLevelType w:val="hybridMultilevel"/>
    <w:tmpl w:val="962C8A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ABA203A"/>
    <w:multiLevelType w:val="hybridMultilevel"/>
    <w:tmpl w:val="B98E01D6"/>
    <w:lvl w:ilvl="0" w:tplc="4E7652E6">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imonds Kašs">
    <w15:presenceInfo w15:providerId="AD" w15:userId="S-1-5-21-1177238915-1417001333-839522115-2311"/>
  </w15:person>
  <w15:person w15:author="Viesturs Frišfelds">
    <w15:presenceInfo w15:providerId="AD" w15:userId="S-1-5-21-1177238915-1417001333-839522115-9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BD"/>
    <w:rsid w:val="0000041C"/>
    <w:rsid w:val="000006DB"/>
    <w:rsid w:val="0000752D"/>
    <w:rsid w:val="00007F85"/>
    <w:rsid w:val="00013D2E"/>
    <w:rsid w:val="000213DF"/>
    <w:rsid w:val="00022CA7"/>
    <w:rsid w:val="0002574E"/>
    <w:rsid w:val="00062C79"/>
    <w:rsid w:val="000672E7"/>
    <w:rsid w:val="0009237A"/>
    <w:rsid w:val="000940FC"/>
    <w:rsid w:val="00095752"/>
    <w:rsid w:val="000A3CC4"/>
    <w:rsid w:val="000C4154"/>
    <w:rsid w:val="000C70C5"/>
    <w:rsid w:val="000D3FA6"/>
    <w:rsid w:val="000E06CE"/>
    <w:rsid w:val="000E10F7"/>
    <w:rsid w:val="00127E4E"/>
    <w:rsid w:val="00135837"/>
    <w:rsid w:val="00164BCE"/>
    <w:rsid w:val="00172029"/>
    <w:rsid w:val="00180F42"/>
    <w:rsid w:val="001816DE"/>
    <w:rsid w:val="00182B56"/>
    <w:rsid w:val="00187717"/>
    <w:rsid w:val="001A3142"/>
    <w:rsid w:val="001B3C5D"/>
    <w:rsid w:val="001C7DA3"/>
    <w:rsid w:val="001D3EDE"/>
    <w:rsid w:val="001D4616"/>
    <w:rsid w:val="00212117"/>
    <w:rsid w:val="00215868"/>
    <w:rsid w:val="002269B3"/>
    <w:rsid w:val="002317A1"/>
    <w:rsid w:val="002409E5"/>
    <w:rsid w:val="00241FCA"/>
    <w:rsid w:val="00242236"/>
    <w:rsid w:val="00242496"/>
    <w:rsid w:val="00246694"/>
    <w:rsid w:val="0026413C"/>
    <w:rsid w:val="00266A78"/>
    <w:rsid w:val="0028039C"/>
    <w:rsid w:val="00280EE3"/>
    <w:rsid w:val="00291297"/>
    <w:rsid w:val="0029147B"/>
    <w:rsid w:val="002A1EC1"/>
    <w:rsid w:val="002A52EC"/>
    <w:rsid w:val="002B62C3"/>
    <w:rsid w:val="002D27D0"/>
    <w:rsid w:val="002F22F4"/>
    <w:rsid w:val="002F476E"/>
    <w:rsid w:val="002F58DB"/>
    <w:rsid w:val="003019E6"/>
    <w:rsid w:val="00315341"/>
    <w:rsid w:val="0031659A"/>
    <w:rsid w:val="003261F2"/>
    <w:rsid w:val="00334834"/>
    <w:rsid w:val="00351010"/>
    <w:rsid w:val="003825C9"/>
    <w:rsid w:val="003874A7"/>
    <w:rsid w:val="00387C70"/>
    <w:rsid w:val="00390B7F"/>
    <w:rsid w:val="003A040A"/>
    <w:rsid w:val="003B2F71"/>
    <w:rsid w:val="003B54F6"/>
    <w:rsid w:val="003B7FFD"/>
    <w:rsid w:val="003C5E98"/>
    <w:rsid w:val="003D1BC9"/>
    <w:rsid w:val="003E1BD2"/>
    <w:rsid w:val="003E7F40"/>
    <w:rsid w:val="003F1A22"/>
    <w:rsid w:val="003F2F54"/>
    <w:rsid w:val="00406B61"/>
    <w:rsid w:val="00422722"/>
    <w:rsid w:val="004267C8"/>
    <w:rsid w:val="00440F25"/>
    <w:rsid w:val="0046543D"/>
    <w:rsid w:val="00480427"/>
    <w:rsid w:val="00493C28"/>
    <w:rsid w:val="004A2377"/>
    <w:rsid w:val="004B2363"/>
    <w:rsid w:val="004B3EBC"/>
    <w:rsid w:val="004B4E18"/>
    <w:rsid w:val="004B63A4"/>
    <w:rsid w:val="004B6E45"/>
    <w:rsid w:val="004C2819"/>
    <w:rsid w:val="004C4915"/>
    <w:rsid w:val="004C78B1"/>
    <w:rsid w:val="004D4025"/>
    <w:rsid w:val="00501BFE"/>
    <w:rsid w:val="005226CE"/>
    <w:rsid w:val="00527CAE"/>
    <w:rsid w:val="005365ED"/>
    <w:rsid w:val="00545726"/>
    <w:rsid w:val="0055794C"/>
    <w:rsid w:val="00564BE4"/>
    <w:rsid w:val="0058692E"/>
    <w:rsid w:val="00597D02"/>
    <w:rsid w:val="005A22DC"/>
    <w:rsid w:val="005A708C"/>
    <w:rsid w:val="005B215D"/>
    <w:rsid w:val="005E336F"/>
    <w:rsid w:val="005F0F45"/>
    <w:rsid w:val="005F1485"/>
    <w:rsid w:val="006024EE"/>
    <w:rsid w:val="0060319A"/>
    <w:rsid w:val="00612122"/>
    <w:rsid w:val="006447A1"/>
    <w:rsid w:val="006600FD"/>
    <w:rsid w:val="006A2C2B"/>
    <w:rsid w:val="006A350A"/>
    <w:rsid w:val="006A6D89"/>
    <w:rsid w:val="006B3251"/>
    <w:rsid w:val="006B5501"/>
    <w:rsid w:val="006C028A"/>
    <w:rsid w:val="006C5AA1"/>
    <w:rsid w:val="006F2D3A"/>
    <w:rsid w:val="006F55B4"/>
    <w:rsid w:val="0070734C"/>
    <w:rsid w:val="007152E1"/>
    <w:rsid w:val="00720D10"/>
    <w:rsid w:val="00721B5A"/>
    <w:rsid w:val="0072252D"/>
    <w:rsid w:val="0072481D"/>
    <w:rsid w:val="007343D9"/>
    <w:rsid w:val="007413B1"/>
    <w:rsid w:val="007419C3"/>
    <w:rsid w:val="007556CC"/>
    <w:rsid w:val="007563C9"/>
    <w:rsid w:val="00757B01"/>
    <w:rsid w:val="00775B7A"/>
    <w:rsid w:val="00786248"/>
    <w:rsid w:val="00794AE3"/>
    <w:rsid w:val="007B520A"/>
    <w:rsid w:val="007B6E8E"/>
    <w:rsid w:val="007D1FFA"/>
    <w:rsid w:val="007F48F7"/>
    <w:rsid w:val="00805306"/>
    <w:rsid w:val="00830ECF"/>
    <w:rsid w:val="0083486A"/>
    <w:rsid w:val="00884F59"/>
    <w:rsid w:val="008A0DAD"/>
    <w:rsid w:val="008A7814"/>
    <w:rsid w:val="008B23A2"/>
    <w:rsid w:val="008C573E"/>
    <w:rsid w:val="008C750D"/>
    <w:rsid w:val="008E0C26"/>
    <w:rsid w:val="008F5942"/>
    <w:rsid w:val="00910149"/>
    <w:rsid w:val="00910B77"/>
    <w:rsid w:val="00913EAF"/>
    <w:rsid w:val="0091551B"/>
    <w:rsid w:val="00922DF7"/>
    <w:rsid w:val="009336CB"/>
    <w:rsid w:val="00934EBA"/>
    <w:rsid w:val="00944004"/>
    <w:rsid w:val="009508FC"/>
    <w:rsid w:val="00950B5C"/>
    <w:rsid w:val="00953E99"/>
    <w:rsid w:val="00987551"/>
    <w:rsid w:val="009B68EE"/>
    <w:rsid w:val="009C6F5D"/>
    <w:rsid w:val="009D38BB"/>
    <w:rsid w:val="009E53A9"/>
    <w:rsid w:val="009E5BCC"/>
    <w:rsid w:val="009E61BD"/>
    <w:rsid w:val="00A011C0"/>
    <w:rsid w:val="00A01E84"/>
    <w:rsid w:val="00A11D80"/>
    <w:rsid w:val="00A126AE"/>
    <w:rsid w:val="00A219F4"/>
    <w:rsid w:val="00A26A07"/>
    <w:rsid w:val="00A34390"/>
    <w:rsid w:val="00A37C54"/>
    <w:rsid w:val="00A40EF6"/>
    <w:rsid w:val="00A56232"/>
    <w:rsid w:val="00A67AFA"/>
    <w:rsid w:val="00A72893"/>
    <w:rsid w:val="00A815A0"/>
    <w:rsid w:val="00A81D9C"/>
    <w:rsid w:val="00A84BA5"/>
    <w:rsid w:val="00AB49B6"/>
    <w:rsid w:val="00AB59BD"/>
    <w:rsid w:val="00AC3073"/>
    <w:rsid w:val="00AC75D1"/>
    <w:rsid w:val="00AC760F"/>
    <w:rsid w:val="00AD4566"/>
    <w:rsid w:val="00AF3075"/>
    <w:rsid w:val="00B05959"/>
    <w:rsid w:val="00B0598D"/>
    <w:rsid w:val="00B21B83"/>
    <w:rsid w:val="00B23BD0"/>
    <w:rsid w:val="00B4338C"/>
    <w:rsid w:val="00B438DD"/>
    <w:rsid w:val="00B462F6"/>
    <w:rsid w:val="00B473EC"/>
    <w:rsid w:val="00B47ADE"/>
    <w:rsid w:val="00B47EFA"/>
    <w:rsid w:val="00B74801"/>
    <w:rsid w:val="00B90987"/>
    <w:rsid w:val="00BA2C7A"/>
    <w:rsid w:val="00BA71A3"/>
    <w:rsid w:val="00BC7589"/>
    <w:rsid w:val="00BD6116"/>
    <w:rsid w:val="00C20964"/>
    <w:rsid w:val="00C21974"/>
    <w:rsid w:val="00C33623"/>
    <w:rsid w:val="00C354B4"/>
    <w:rsid w:val="00C55BA8"/>
    <w:rsid w:val="00C57B81"/>
    <w:rsid w:val="00C62017"/>
    <w:rsid w:val="00C8033A"/>
    <w:rsid w:val="00C85F87"/>
    <w:rsid w:val="00C8661C"/>
    <w:rsid w:val="00C87057"/>
    <w:rsid w:val="00C96432"/>
    <w:rsid w:val="00CA2F61"/>
    <w:rsid w:val="00CB5304"/>
    <w:rsid w:val="00CF280C"/>
    <w:rsid w:val="00CF4333"/>
    <w:rsid w:val="00D0650B"/>
    <w:rsid w:val="00D11DC0"/>
    <w:rsid w:val="00D11F48"/>
    <w:rsid w:val="00D370B9"/>
    <w:rsid w:val="00D373E1"/>
    <w:rsid w:val="00D606D7"/>
    <w:rsid w:val="00D74F7A"/>
    <w:rsid w:val="00D81155"/>
    <w:rsid w:val="00D91EE4"/>
    <w:rsid w:val="00D945C9"/>
    <w:rsid w:val="00DA18AA"/>
    <w:rsid w:val="00DA2AA5"/>
    <w:rsid w:val="00DB54FF"/>
    <w:rsid w:val="00DC7EAC"/>
    <w:rsid w:val="00DD3A2F"/>
    <w:rsid w:val="00DF7547"/>
    <w:rsid w:val="00E12779"/>
    <w:rsid w:val="00E224F6"/>
    <w:rsid w:val="00E5164F"/>
    <w:rsid w:val="00E61AF3"/>
    <w:rsid w:val="00E6339F"/>
    <w:rsid w:val="00E63655"/>
    <w:rsid w:val="00E83F47"/>
    <w:rsid w:val="00E84DA3"/>
    <w:rsid w:val="00E85F5C"/>
    <w:rsid w:val="00EA3018"/>
    <w:rsid w:val="00EA317D"/>
    <w:rsid w:val="00EB528A"/>
    <w:rsid w:val="00EC092F"/>
    <w:rsid w:val="00EC237F"/>
    <w:rsid w:val="00EC403C"/>
    <w:rsid w:val="00EE48E7"/>
    <w:rsid w:val="00EF1769"/>
    <w:rsid w:val="00F21ECA"/>
    <w:rsid w:val="00F32EA2"/>
    <w:rsid w:val="00F50428"/>
    <w:rsid w:val="00F6138F"/>
    <w:rsid w:val="00F66883"/>
    <w:rsid w:val="00F67D76"/>
    <w:rsid w:val="00F827FF"/>
    <w:rsid w:val="00F82FFB"/>
    <w:rsid w:val="00F83C0D"/>
    <w:rsid w:val="00F9656B"/>
    <w:rsid w:val="00FA0DA7"/>
    <w:rsid w:val="00FB2654"/>
    <w:rsid w:val="00FC6A0D"/>
    <w:rsid w:val="00FD417B"/>
    <w:rsid w:val="00FF2D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9BD"/>
    <w:rPr>
      <w:rFonts w:eastAsia="Times New Roman"/>
      <w:szCs w:val="22"/>
    </w:rPr>
  </w:style>
  <w:style w:type="paragraph" w:styleId="Heading2">
    <w:name w:val="heading 2"/>
    <w:basedOn w:val="Normal"/>
    <w:next w:val="Normal"/>
    <w:link w:val="Heading2Char"/>
    <w:uiPriority w:val="9"/>
    <w:semiHidden/>
    <w:unhideWhenUsed/>
    <w:qFormat/>
    <w:rsid w:val="00C57B81"/>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4834"/>
    <w:rPr>
      <w:rFonts w:eastAsia="Calibri"/>
      <w:sz w:val="22"/>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9BD"/>
    <w:pPr>
      <w:tabs>
        <w:tab w:val="center" w:pos="4153"/>
        <w:tab w:val="right" w:pos="8306"/>
      </w:tabs>
    </w:pPr>
  </w:style>
  <w:style w:type="character" w:customStyle="1" w:styleId="HeaderChar">
    <w:name w:val="Header Char"/>
    <w:basedOn w:val="DefaultParagraphFont"/>
    <w:link w:val="Header"/>
    <w:uiPriority w:val="99"/>
    <w:rsid w:val="00AB59BD"/>
    <w:rPr>
      <w:rFonts w:ascii="Calibri" w:eastAsia="Times New Roman" w:hAnsi="Calibri"/>
      <w:sz w:val="22"/>
      <w:szCs w:val="22"/>
    </w:rPr>
  </w:style>
  <w:style w:type="paragraph" w:styleId="Footer">
    <w:name w:val="footer"/>
    <w:basedOn w:val="Normal"/>
    <w:link w:val="FooterChar"/>
    <w:uiPriority w:val="99"/>
    <w:unhideWhenUsed/>
    <w:rsid w:val="00AB59BD"/>
    <w:pPr>
      <w:tabs>
        <w:tab w:val="center" w:pos="4153"/>
        <w:tab w:val="right" w:pos="8306"/>
      </w:tabs>
    </w:pPr>
  </w:style>
  <w:style w:type="character" w:customStyle="1" w:styleId="FooterChar">
    <w:name w:val="Footer Char"/>
    <w:basedOn w:val="DefaultParagraphFont"/>
    <w:link w:val="Footer"/>
    <w:uiPriority w:val="99"/>
    <w:rsid w:val="00AB59BD"/>
    <w:rPr>
      <w:rFonts w:ascii="Calibri" w:eastAsia="Times New Roman" w:hAnsi="Calibri"/>
      <w:sz w:val="22"/>
      <w:szCs w:val="22"/>
    </w:rPr>
  </w:style>
  <w:style w:type="paragraph" w:styleId="BalloonText">
    <w:name w:val="Balloon Text"/>
    <w:basedOn w:val="Normal"/>
    <w:link w:val="BalloonTextChar"/>
    <w:uiPriority w:val="99"/>
    <w:semiHidden/>
    <w:unhideWhenUsed/>
    <w:rsid w:val="00AB59BD"/>
    <w:rPr>
      <w:rFonts w:ascii="Tahoma" w:hAnsi="Tahoma" w:cs="Tahoma"/>
      <w:sz w:val="16"/>
      <w:szCs w:val="16"/>
    </w:rPr>
  </w:style>
  <w:style w:type="character" w:customStyle="1" w:styleId="BalloonTextChar">
    <w:name w:val="Balloon Text Char"/>
    <w:basedOn w:val="DefaultParagraphFont"/>
    <w:link w:val="BalloonText"/>
    <w:uiPriority w:val="99"/>
    <w:semiHidden/>
    <w:rsid w:val="00AB59BD"/>
    <w:rPr>
      <w:rFonts w:ascii="Tahoma" w:eastAsia="Times New Roman" w:hAnsi="Tahoma" w:cs="Tahoma"/>
      <w:sz w:val="16"/>
      <w:szCs w:val="16"/>
    </w:rPr>
  </w:style>
  <w:style w:type="character" w:styleId="Hyperlink">
    <w:name w:val="Hyperlink"/>
    <w:basedOn w:val="DefaultParagraphFont"/>
    <w:uiPriority w:val="99"/>
    <w:unhideWhenUsed/>
    <w:rsid w:val="00AB59BD"/>
    <w:rPr>
      <w:color w:val="0000FF" w:themeColor="hyperlink"/>
      <w:u w:val="single"/>
    </w:rPr>
  </w:style>
  <w:style w:type="character" w:styleId="FollowedHyperlink">
    <w:name w:val="FollowedHyperlink"/>
    <w:basedOn w:val="DefaultParagraphFont"/>
    <w:uiPriority w:val="99"/>
    <w:semiHidden/>
    <w:unhideWhenUsed/>
    <w:rsid w:val="0028039C"/>
    <w:rPr>
      <w:color w:val="800080" w:themeColor="followedHyperlink"/>
      <w:u w:val="single"/>
    </w:rPr>
  </w:style>
  <w:style w:type="character" w:styleId="CommentReference">
    <w:name w:val="annotation reference"/>
    <w:basedOn w:val="DefaultParagraphFont"/>
    <w:uiPriority w:val="99"/>
    <w:semiHidden/>
    <w:unhideWhenUsed/>
    <w:rsid w:val="00241FCA"/>
    <w:rPr>
      <w:sz w:val="16"/>
      <w:szCs w:val="16"/>
    </w:rPr>
  </w:style>
  <w:style w:type="paragraph" w:styleId="CommentText">
    <w:name w:val="annotation text"/>
    <w:basedOn w:val="Normal"/>
    <w:link w:val="CommentTextChar"/>
    <w:uiPriority w:val="99"/>
    <w:semiHidden/>
    <w:unhideWhenUsed/>
    <w:rsid w:val="00241FCA"/>
    <w:rPr>
      <w:sz w:val="20"/>
      <w:szCs w:val="20"/>
    </w:rPr>
  </w:style>
  <w:style w:type="character" w:customStyle="1" w:styleId="CommentTextChar">
    <w:name w:val="Comment Text Char"/>
    <w:basedOn w:val="DefaultParagraphFont"/>
    <w:link w:val="CommentText"/>
    <w:uiPriority w:val="99"/>
    <w:semiHidden/>
    <w:rsid w:val="00241FCA"/>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41FCA"/>
    <w:rPr>
      <w:b/>
      <w:bCs/>
    </w:rPr>
  </w:style>
  <w:style w:type="character" w:customStyle="1" w:styleId="CommentSubjectChar">
    <w:name w:val="Comment Subject Char"/>
    <w:basedOn w:val="CommentTextChar"/>
    <w:link w:val="CommentSubject"/>
    <w:uiPriority w:val="99"/>
    <w:semiHidden/>
    <w:rsid w:val="00241FCA"/>
    <w:rPr>
      <w:rFonts w:eastAsia="Times New Roman"/>
      <w:b/>
      <w:bCs/>
      <w:sz w:val="20"/>
      <w:szCs w:val="20"/>
    </w:rPr>
  </w:style>
  <w:style w:type="paragraph" w:styleId="ListParagraph">
    <w:name w:val="List Paragraph"/>
    <w:basedOn w:val="Normal"/>
    <w:uiPriority w:val="34"/>
    <w:qFormat/>
    <w:rsid w:val="00E63655"/>
    <w:pPr>
      <w:ind w:left="720"/>
      <w:contextualSpacing/>
    </w:pPr>
  </w:style>
  <w:style w:type="paragraph" w:styleId="Title">
    <w:name w:val="Title"/>
    <w:basedOn w:val="Normal"/>
    <w:next w:val="Normal"/>
    <w:link w:val="TitleChar"/>
    <w:uiPriority w:val="10"/>
    <w:qFormat/>
    <w:rsid w:val="00C57B81"/>
    <w:rPr>
      <w:sz w:val="20"/>
      <w:lang w:eastAsia="lv-LV"/>
    </w:rPr>
  </w:style>
  <w:style w:type="character" w:customStyle="1" w:styleId="TitleChar">
    <w:name w:val="Title Char"/>
    <w:basedOn w:val="DefaultParagraphFont"/>
    <w:link w:val="Title"/>
    <w:uiPriority w:val="10"/>
    <w:rsid w:val="00C57B81"/>
    <w:rPr>
      <w:rFonts w:eastAsia="Times New Roman"/>
      <w:sz w:val="20"/>
      <w:szCs w:val="22"/>
      <w:lang w:eastAsia="lv-LV"/>
    </w:rPr>
  </w:style>
  <w:style w:type="paragraph" w:styleId="Subtitle">
    <w:name w:val="Subtitle"/>
    <w:basedOn w:val="Normal"/>
    <w:next w:val="Normal"/>
    <w:link w:val="SubtitleChar"/>
    <w:uiPriority w:val="11"/>
    <w:qFormat/>
    <w:rsid w:val="00C57B81"/>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C57B81"/>
    <w:rPr>
      <w:rFonts w:eastAsiaTheme="majorEastAsia" w:cstheme="majorBidi"/>
      <w:i/>
      <w:iCs/>
      <w:color w:val="4F81BD" w:themeColor="accent1"/>
      <w:spacing w:val="15"/>
    </w:rPr>
  </w:style>
  <w:style w:type="character" w:customStyle="1" w:styleId="Heading2Char">
    <w:name w:val="Heading 2 Char"/>
    <w:basedOn w:val="DefaultParagraphFont"/>
    <w:link w:val="Heading2"/>
    <w:uiPriority w:val="9"/>
    <w:semiHidden/>
    <w:rsid w:val="00C57B81"/>
    <w:rPr>
      <w:rFonts w:eastAsiaTheme="majorEastAsia" w:cstheme="majorBidi"/>
      <w:b/>
      <w:bCs/>
      <w:color w:val="4F81BD" w:themeColor="accent1"/>
      <w:sz w:val="26"/>
      <w:szCs w:val="26"/>
    </w:rPr>
  </w:style>
  <w:style w:type="character" w:customStyle="1" w:styleId="c10">
    <w:name w:val="c10"/>
    <w:basedOn w:val="DefaultParagraphFont"/>
    <w:rsid w:val="00C8033A"/>
  </w:style>
  <w:style w:type="paragraph" w:customStyle="1" w:styleId="naisc">
    <w:name w:val="naisc"/>
    <w:basedOn w:val="Normal"/>
    <w:rsid w:val="009E53A9"/>
    <w:pPr>
      <w:spacing w:before="75" w:after="75"/>
      <w:jc w:val="center"/>
    </w:pPr>
    <w:rPr>
      <w:szCs w:val="24"/>
      <w:lang w:eastAsia="lv-LV"/>
    </w:rPr>
  </w:style>
  <w:style w:type="character" w:styleId="PlaceholderText">
    <w:name w:val="Placeholder Text"/>
    <w:basedOn w:val="DefaultParagraphFont"/>
    <w:uiPriority w:val="99"/>
    <w:semiHidden/>
    <w:rsid w:val="00164BCE"/>
    <w:rPr>
      <w:color w:val="808080"/>
    </w:rPr>
  </w:style>
  <w:style w:type="paragraph" w:customStyle="1" w:styleId="Default">
    <w:name w:val="Default"/>
    <w:rsid w:val="00D81155"/>
    <w:pPr>
      <w:autoSpaceDE w:val="0"/>
      <w:autoSpaceDN w:val="0"/>
      <w:adjustRightInd w:val="0"/>
    </w:pPr>
    <w:rPr>
      <w:rFonts w:eastAsia="Times New Roman"/>
      <w:color w:val="00000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9BD"/>
    <w:rPr>
      <w:rFonts w:eastAsia="Times New Roman"/>
      <w:szCs w:val="22"/>
    </w:rPr>
  </w:style>
  <w:style w:type="paragraph" w:styleId="Heading2">
    <w:name w:val="heading 2"/>
    <w:basedOn w:val="Normal"/>
    <w:next w:val="Normal"/>
    <w:link w:val="Heading2Char"/>
    <w:uiPriority w:val="9"/>
    <w:semiHidden/>
    <w:unhideWhenUsed/>
    <w:qFormat/>
    <w:rsid w:val="00C57B81"/>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4834"/>
    <w:rPr>
      <w:rFonts w:eastAsia="Calibri"/>
      <w:sz w:val="22"/>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9BD"/>
    <w:pPr>
      <w:tabs>
        <w:tab w:val="center" w:pos="4153"/>
        <w:tab w:val="right" w:pos="8306"/>
      </w:tabs>
    </w:pPr>
  </w:style>
  <w:style w:type="character" w:customStyle="1" w:styleId="HeaderChar">
    <w:name w:val="Header Char"/>
    <w:basedOn w:val="DefaultParagraphFont"/>
    <w:link w:val="Header"/>
    <w:uiPriority w:val="99"/>
    <w:rsid w:val="00AB59BD"/>
    <w:rPr>
      <w:rFonts w:ascii="Calibri" w:eastAsia="Times New Roman" w:hAnsi="Calibri"/>
      <w:sz w:val="22"/>
      <w:szCs w:val="22"/>
    </w:rPr>
  </w:style>
  <w:style w:type="paragraph" w:styleId="Footer">
    <w:name w:val="footer"/>
    <w:basedOn w:val="Normal"/>
    <w:link w:val="FooterChar"/>
    <w:uiPriority w:val="99"/>
    <w:unhideWhenUsed/>
    <w:rsid w:val="00AB59BD"/>
    <w:pPr>
      <w:tabs>
        <w:tab w:val="center" w:pos="4153"/>
        <w:tab w:val="right" w:pos="8306"/>
      </w:tabs>
    </w:pPr>
  </w:style>
  <w:style w:type="character" w:customStyle="1" w:styleId="FooterChar">
    <w:name w:val="Footer Char"/>
    <w:basedOn w:val="DefaultParagraphFont"/>
    <w:link w:val="Footer"/>
    <w:uiPriority w:val="99"/>
    <w:rsid w:val="00AB59BD"/>
    <w:rPr>
      <w:rFonts w:ascii="Calibri" w:eastAsia="Times New Roman" w:hAnsi="Calibri"/>
      <w:sz w:val="22"/>
      <w:szCs w:val="22"/>
    </w:rPr>
  </w:style>
  <w:style w:type="paragraph" w:styleId="BalloonText">
    <w:name w:val="Balloon Text"/>
    <w:basedOn w:val="Normal"/>
    <w:link w:val="BalloonTextChar"/>
    <w:uiPriority w:val="99"/>
    <w:semiHidden/>
    <w:unhideWhenUsed/>
    <w:rsid w:val="00AB59BD"/>
    <w:rPr>
      <w:rFonts w:ascii="Tahoma" w:hAnsi="Tahoma" w:cs="Tahoma"/>
      <w:sz w:val="16"/>
      <w:szCs w:val="16"/>
    </w:rPr>
  </w:style>
  <w:style w:type="character" w:customStyle="1" w:styleId="BalloonTextChar">
    <w:name w:val="Balloon Text Char"/>
    <w:basedOn w:val="DefaultParagraphFont"/>
    <w:link w:val="BalloonText"/>
    <w:uiPriority w:val="99"/>
    <w:semiHidden/>
    <w:rsid w:val="00AB59BD"/>
    <w:rPr>
      <w:rFonts w:ascii="Tahoma" w:eastAsia="Times New Roman" w:hAnsi="Tahoma" w:cs="Tahoma"/>
      <w:sz w:val="16"/>
      <w:szCs w:val="16"/>
    </w:rPr>
  </w:style>
  <w:style w:type="character" w:styleId="Hyperlink">
    <w:name w:val="Hyperlink"/>
    <w:basedOn w:val="DefaultParagraphFont"/>
    <w:uiPriority w:val="99"/>
    <w:unhideWhenUsed/>
    <w:rsid w:val="00AB59BD"/>
    <w:rPr>
      <w:color w:val="0000FF" w:themeColor="hyperlink"/>
      <w:u w:val="single"/>
    </w:rPr>
  </w:style>
  <w:style w:type="character" w:styleId="FollowedHyperlink">
    <w:name w:val="FollowedHyperlink"/>
    <w:basedOn w:val="DefaultParagraphFont"/>
    <w:uiPriority w:val="99"/>
    <w:semiHidden/>
    <w:unhideWhenUsed/>
    <w:rsid w:val="0028039C"/>
    <w:rPr>
      <w:color w:val="800080" w:themeColor="followedHyperlink"/>
      <w:u w:val="single"/>
    </w:rPr>
  </w:style>
  <w:style w:type="character" w:styleId="CommentReference">
    <w:name w:val="annotation reference"/>
    <w:basedOn w:val="DefaultParagraphFont"/>
    <w:uiPriority w:val="99"/>
    <w:semiHidden/>
    <w:unhideWhenUsed/>
    <w:rsid w:val="00241FCA"/>
    <w:rPr>
      <w:sz w:val="16"/>
      <w:szCs w:val="16"/>
    </w:rPr>
  </w:style>
  <w:style w:type="paragraph" w:styleId="CommentText">
    <w:name w:val="annotation text"/>
    <w:basedOn w:val="Normal"/>
    <w:link w:val="CommentTextChar"/>
    <w:uiPriority w:val="99"/>
    <w:semiHidden/>
    <w:unhideWhenUsed/>
    <w:rsid w:val="00241FCA"/>
    <w:rPr>
      <w:sz w:val="20"/>
      <w:szCs w:val="20"/>
    </w:rPr>
  </w:style>
  <w:style w:type="character" w:customStyle="1" w:styleId="CommentTextChar">
    <w:name w:val="Comment Text Char"/>
    <w:basedOn w:val="DefaultParagraphFont"/>
    <w:link w:val="CommentText"/>
    <w:uiPriority w:val="99"/>
    <w:semiHidden/>
    <w:rsid w:val="00241FCA"/>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41FCA"/>
    <w:rPr>
      <w:b/>
      <w:bCs/>
    </w:rPr>
  </w:style>
  <w:style w:type="character" w:customStyle="1" w:styleId="CommentSubjectChar">
    <w:name w:val="Comment Subject Char"/>
    <w:basedOn w:val="CommentTextChar"/>
    <w:link w:val="CommentSubject"/>
    <w:uiPriority w:val="99"/>
    <w:semiHidden/>
    <w:rsid w:val="00241FCA"/>
    <w:rPr>
      <w:rFonts w:eastAsia="Times New Roman"/>
      <w:b/>
      <w:bCs/>
      <w:sz w:val="20"/>
      <w:szCs w:val="20"/>
    </w:rPr>
  </w:style>
  <w:style w:type="paragraph" w:styleId="ListParagraph">
    <w:name w:val="List Paragraph"/>
    <w:basedOn w:val="Normal"/>
    <w:uiPriority w:val="34"/>
    <w:qFormat/>
    <w:rsid w:val="00E63655"/>
    <w:pPr>
      <w:ind w:left="720"/>
      <w:contextualSpacing/>
    </w:pPr>
  </w:style>
  <w:style w:type="paragraph" w:styleId="Title">
    <w:name w:val="Title"/>
    <w:basedOn w:val="Normal"/>
    <w:next w:val="Normal"/>
    <w:link w:val="TitleChar"/>
    <w:uiPriority w:val="10"/>
    <w:qFormat/>
    <w:rsid w:val="00C57B81"/>
    <w:rPr>
      <w:sz w:val="20"/>
      <w:lang w:eastAsia="lv-LV"/>
    </w:rPr>
  </w:style>
  <w:style w:type="character" w:customStyle="1" w:styleId="TitleChar">
    <w:name w:val="Title Char"/>
    <w:basedOn w:val="DefaultParagraphFont"/>
    <w:link w:val="Title"/>
    <w:uiPriority w:val="10"/>
    <w:rsid w:val="00C57B81"/>
    <w:rPr>
      <w:rFonts w:eastAsia="Times New Roman"/>
      <w:sz w:val="20"/>
      <w:szCs w:val="22"/>
      <w:lang w:eastAsia="lv-LV"/>
    </w:rPr>
  </w:style>
  <w:style w:type="paragraph" w:styleId="Subtitle">
    <w:name w:val="Subtitle"/>
    <w:basedOn w:val="Normal"/>
    <w:next w:val="Normal"/>
    <w:link w:val="SubtitleChar"/>
    <w:uiPriority w:val="11"/>
    <w:qFormat/>
    <w:rsid w:val="00C57B81"/>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C57B81"/>
    <w:rPr>
      <w:rFonts w:eastAsiaTheme="majorEastAsia" w:cstheme="majorBidi"/>
      <w:i/>
      <w:iCs/>
      <w:color w:val="4F81BD" w:themeColor="accent1"/>
      <w:spacing w:val="15"/>
    </w:rPr>
  </w:style>
  <w:style w:type="character" w:customStyle="1" w:styleId="Heading2Char">
    <w:name w:val="Heading 2 Char"/>
    <w:basedOn w:val="DefaultParagraphFont"/>
    <w:link w:val="Heading2"/>
    <w:uiPriority w:val="9"/>
    <w:semiHidden/>
    <w:rsid w:val="00C57B81"/>
    <w:rPr>
      <w:rFonts w:eastAsiaTheme="majorEastAsia" w:cstheme="majorBidi"/>
      <w:b/>
      <w:bCs/>
      <w:color w:val="4F81BD" w:themeColor="accent1"/>
      <w:sz w:val="26"/>
      <w:szCs w:val="26"/>
    </w:rPr>
  </w:style>
  <w:style w:type="character" w:customStyle="1" w:styleId="c10">
    <w:name w:val="c10"/>
    <w:basedOn w:val="DefaultParagraphFont"/>
    <w:rsid w:val="00C8033A"/>
  </w:style>
  <w:style w:type="paragraph" w:customStyle="1" w:styleId="naisc">
    <w:name w:val="naisc"/>
    <w:basedOn w:val="Normal"/>
    <w:rsid w:val="009E53A9"/>
    <w:pPr>
      <w:spacing w:before="75" w:after="75"/>
      <w:jc w:val="center"/>
    </w:pPr>
    <w:rPr>
      <w:szCs w:val="24"/>
      <w:lang w:eastAsia="lv-LV"/>
    </w:rPr>
  </w:style>
  <w:style w:type="character" w:styleId="PlaceholderText">
    <w:name w:val="Placeholder Text"/>
    <w:basedOn w:val="DefaultParagraphFont"/>
    <w:uiPriority w:val="99"/>
    <w:semiHidden/>
    <w:rsid w:val="00164BCE"/>
    <w:rPr>
      <w:color w:val="808080"/>
    </w:rPr>
  </w:style>
  <w:style w:type="paragraph" w:customStyle="1" w:styleId="Default">
    <w:name w:val="Default"/>
    <w:rsid w:val="00D81155"/>
    <w:pPr>
      <w:autoSpaceDE w:val="0"/>
      <w:autoSpaceDN w:val="0"/>
      <w:adjustRightInd w:val="0"/>
    </w:pPr>
    <w:rPr>
      <w:rFonts w:eastAsia="Times New Roman"/>
      <w:color w:val="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856794">
      <w:bodyDiv w:val="1"/>
      <w:marLeft w:val="0"/>
      <w:marRight w:val="0"/>
      <w:marTop w:val="0"/>
      <w:marBottom w:val="0"/>
      <w:divBdr>
        <w:top w:val="none" w:sz="0" w:space="0" w:color="auto"/>
        <w:left w:val="none" w:sz="0" w:space="0" w:color="auto"/>
        <w:bottom w:val="none" w:sz="0" w:space="0" w:color="auto"/>
        <w:right w:val="none" w:sz="0" w:space="0" w:color="auto"/>
      </w:divBdr>
    </w:div>
    <w:div w:id="1319920032">
      <w:bodyDiv w:val="1"/>
      <w:marLeft w:val="0"/>
      <w:marRight w:val="0"/>
      <w:marTop w:val="0"/>
      <w:marBottom w:val="0"/>
      <w:divBdr>
        <w:top w:val="none" w:sz="0" w:space="0" w:color="auto"/>
        <w:left w:val="none" w:sz="0" w:space="0" w:color="auto"/>
        <w:bottom w:val="none" w:sz="0" w:space="0" w:color="auto"/>
        <w:right w:val="none" w:sz="0" w:space="0" w:color="auto"/>
      </w:divBdr>
    </w:div>
    <w:div w:id="1552881704">
      <w:bodyDiv w:val="1"/>
      <w:marLeft w:val="0"/>
      <w:marRight w:val="0"/>
      <w:marTop w:val="0"/>
      <w:marBottom w:val="0"/>
      <w:divBdr>
        <w:top w:val="none" w:sz="0" w:space="0" w:color="auto"/>
        <w:left w:val="none" w:sz="0" w:space="0" w:color="auto"/>
        <w:bottom w:val="none" w:sz="0" w:space="0" w:color="auto"/>
        <w:right w:val="none" w:sz="0" w:space="0" w:color="auto"/>
      </w:divBdr>
    </w:div>
    <w:div w:id="1575161683">
      <w:bodyDiv w:val="1"/>
      <w:marLeft w:val="0"/>
      <w:marRight w:val="0"/>
      <w:marTop w:val="0"/>
      <w:marBottom w:val="0"/>
      <w:divBdr>
        <w:top w:val="none" w:sz="0" w:space="0" w:color="auto"/>
        <w:left w:val="none" w:sz="0" w:space="0" w:color="auto"/>
        <w:bottom w:val="none" w:sz="0" w:space="0" w:color="auto"/>
        <w:right w:val="none" w:sz="0" w:space="0" w:color="auto"/>
      </w:divBdr>
    </w:div>
    <w:div w:id="16975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em.gov.lv/lv/nozares_politika/majokli/eku_energoefektivitate/neatkarigo_ekspertu_eku_energoefektivitates_joma_registrs/" TargetMode="External"/><Relationship Id="rId4" Type="http://schemas.microsoft.com/office/2007/relationships/stylesWithEffects" Target="stylesWithEffects.xml"/><Relationship Id="rId9" Type="http://schemas.openxmlformats.org/officeDocument/2006/relationships/hyperlink" Target="https://likumi.lv/ta/id/300500"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C5E77-7EAC-46DF-A54C-13E057E2E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11157</Words>
  <Characters>6360</Characters>
  <Application>Microsoft Office Word</Application>
  <DocSecurity>4</DocSecurity>
  <Lines>53</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17483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Gints Kārkliņš</dc:creator>
  <cp:lastModifiedBy>Gints Kārkliņš</cp:lastModifiedBy>
  <cp:revision>2</cp:revision>
  <cp:lastPrinted>2018-10-02T13:35:00Z</cp:lastPrinted>
  <dcterms:created xsi:type="dcterms:W3CDTF">2018-10-03T08:18:00Z</dcterms:created>
  <dcterms:modified xsi:type="dcterms:W3CDTF">2018-10-03T08:18:00Z</dcterms:modified>
</cp:coreProperties>
</file>