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1F580" w14:textId="77777777" w:rsidR="00AB59BD" w:rsidRPr="00ED2C36" w:rsidRDefault="00AB59BD" w:rsidP="00AB59BD">
      <w:pPr>
        <w:jc w:val="center"/>
        <w:rPr>
          <w:b/>
        </w:rPr>
      </w:pPr>
      <w:r w:rsidRPr="00ED2C36">
        <w:rPr>
          <w:b/>
        </w:rPr>
        <w:t>Atbildes uz uzdotajiem jautājumiem par</w:t>
      </w:r>
    </w:p>
    <w:p w14:paraId="4BA41B06" w14:textId="77777777" w:rsidR="00AB59BD" w:rsidRPr="00ED2C36" w:rsidRDefault="00AB59BD" w:rsidP="00AB59BD">
      <w:pPr>
        <w:jc w:val="center"/>
        <w:rPr>
          <w:b/>
        </w:rPr>
      </w:pPr>
      <w:r w:rsidRPr="00ED2C36">
        <w:rPr>
          <w:b/>
        </w:rPr>
        <w:t>Emisijas kvotu izsolīšanas instrumenta finansēto projektu atklāta konkursu</w:t>
      </w:r>
    </w:p>
    <w:p w14:paraId="71AD81C1" w14:textId="2F9E811C" w:rsidR="00AB59BD" w:rsidRPr="00ED2C36" w:rsidRDefault="00545726" w:rsidP="00AB59BD">
      <w:pPr>
        <w:jc w:val="center"/>
        <w:rPr>
          <w:b/>
        </w:rPr>
      </w:pPr>
      <w:r w:rsidRPr="00ED2C36">
        <w:rPr>
          <w:b/>
        </w:rPr>
        <w:t>“Siltumnīcefekta gāzu emisiju samazināšana ar viedajām pilsētvides tehnoloģijām”</w:t>
      </w:r>
      <w:r w:rsidR="00E557A1">
        <w:rPr>
          <w:b/>
        </w:rPr>
        <w:t xml:space="preserve"> II. kārta</w:t>
      </w:r>
    </w:p>
    <w:p w14:paraId="2857BB61" w14:textId="77777777" w:rsidR="00AB59BD" w:rsidRPr="00ED2C36" w:rsidRDefault="00AB59BD" w:rsidP="00AB59BD"/>
    <w:p w14:paraId="48BC523A" w14:textId="77777777" w:rsidR="00AB59BD" w:rsidRPr="00ED2C36" w:rsidRDefault="00AB59BD" w:rsidP="00AB59BD">
      <w:pPr>
        <w:rPr>
          <w:i/>
        </w:rPr>
      </w:pPr>
      <w:r w:rsidRPr="00ED2C36">
        <w:rPr>
          <w:i/>
        </w:rPr>
        <w:t xml:space="preserve">Lietotie saīsinājumi: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82"/>
        <w:gridCol w:w="12278"/>
      </w:tblGrid>
      <w:tr w:rsidR="00545726" w:rsidRPr="00ED2C36" w14:paraId="04F706C8" w14:textId="77777777" w:rsidTr="00BA064C">
        <w:trPr>
          <w:trHeight w:val="56"/>
        </w:trPr>
        <w:tc>
          <w:tcPr>
            <w:tcW w:w="2290" w:type="dxa"/>
          </w:tcPr>
          <w:p w14:paraId="28773EB8" w14:textId="77777777" w:rsidR="00545726" w:rsidRPr="00ED2C36" w:rsidRDefault="00545726" w:rsidP="00BA064C">
            <w:pPr>
              <w:rPr>
                <w:b/>
                <w:sz w:val="20"/>
                <w:szCs w:val="20"/>
              </w:rPr>
            </w:pPr>
            <w:r w:rsidRPr="00ED2C36">
              <w:rPr>
                <w:b/>
                <w:sz w:val="20"/>
                <w:szCs w:val="20"/>
              </w:rPr>
              <w:t>CO</w:t>
            </w:r>
            <w:r w:rsidRPr="00ED2C36">
              <w:rPr>
                <w:b/>
                <w:sz w:val="20"/>
                <w:szCs w:val="20"/>
                <w:vertAlign w:val="subscript"/>
              </w:rPr>
              <w:t>2</w:t>
            </w:r>
          </w:p>
        </w:tc>
        <w:tc>
          <w:tcPr>
            <w:tcW w:w="12336" w:type="dxa"/>
          </w:tcPr>
          <w:p w14:paraId="01ADD5FD" w14:textId="77777777" w:rsidR="00545726" w:rsidRPr="00ED2C36" w:rsidRDefault="00545726" w:rsidP="00BA064C">
            <w:pPr>
              <w:rPr>
                <w:sz w:val="20"/>
                <w:szCs w:val="20"/>
              </w:rPr>
            </w:pPr>
            <w:r w:rsidRPr="00ED2C36">
              <w:rPr>
                <w:sz w:val="20"/>
                <w:szCs w:val="20"/>
              </w:rPr>
              <w:t>Oglekļa dioksīds</w:t>
            </w:r>
          </w:p>
        </w:tc>
      </w:tr>
      <w:tr w:rsidR="00545726" w:rsidRPr="00ED2C36" w14:paraId="72159615" w14:textId="77777777" w:rsidTr="00E71C6E">
        <w:tc>
          <w:tcPr>
            <w:tcW w:w="2290" w:type="dxa"/>
          </w:tcPr>
          <w:p w14:paraId="6C53C3A5" w14:textId="77777777" w:rsidR="00545726" w:rsidRPr="00ED2C36" w:rsidRDefault="00545726" w:rsidP="00E71C6E">
            <w:pPr>
              <w:rPr>
                <w:b/>
                <w:sz w:val="20"/>
                <w:szCs w:val="20"/>
              </w:rPr>
            </w:pPr>
            <w:r w:rsidRPr="00ED2C36">
              <w:rPr>
                <w:b/>
                <w:sz w:val="20"/>
                <w:szCs w:val="20"/>
              </w:rPr>
              <w:t>EKII</w:t>
            </w:r>
          </w:p>
        </w:tc>
        <w:tc>
          <w:tcPr>
            <w:tcW w:w="12336" w:type="dxa"/>
          </w:tcPr>
          <w:p w14:paraId="64858A40" w14:textId="77777777" w:rsidR="00545726" w:rsidRPr="00ED2C36" w:rsidRDefault="00545726" w:rsidP="00E71C6E">
            <w:pPr>
              <w:rPr>
                <w:sz w:val="20"/>
                <w:szCs w:val="20"/>
              </w:rPr>
            </w:pPr>
            <w:r w:rsidRPr="00ED2C36">
              <w:rPr>
                <w:sz w:val="20"/>
                <w:szCs w:val="20"/>
              </w:rPr>
              <w:t>Emisijas kvotu izsolīšanas instruments (turpmāk tekstā arī – finanšu instruments)</w:t>
            </w:r>
          </w:p>
        </w:tc>
      </w:tr>
      <w:tr w:rsidR="00545726" w:rsidRPr="00ED2C36" w14:paraId="600F294A" w14:textId="77777777" w:rsidTr="00197BAA">
        <w:tc>
          <w:tcPr>
            <w:tcW w:w="2290" w:type="dxa"/>
          </w:tcPr>
          <w:p w14:paraId="4EA85DA0" w14:textId="54E483D7" w:rsidR="00545726" w:rsidRPr="00ED2C36" w:rsidRDefault="00545726" w:rsidP="00197BAA">
            <w:pPr>
              <w:rPr>
                <w:b/>
                <w:sz w:val="20"/>
                <w:szCs w:val="20"/>
              </w:rPr>
            </w:pPr>
            <w:r w:rsidRPr="00ED2C36">
              <w:rPr>
                <w:b/>
                <w:sz w:val="20"/>
                <w:szCs w:val="20"/>
              </w:rPr>
              <w:t>Fonds</w:t>
            </w:r>
          </w:p>
        </w:tc>
        <w:tc>
          <w:tcPr>
            <w:tcW w:w="12336" w:type="dxa"/>
          </w:tcPr>
          <w:p w14:paraId="2C1C9865" w14:textId="77777777" w:rsidR="00545726" w:rsidRPr="00ED2C36" w:rsidRDefault="00545726" w:rsidP="00197BAA">
            <w:pPr>
              <w:rPr>
                <w:sz w:val="20"/>
                <w:szCs w:val="20"/>
              </w:rPr>
            </w:pPr>
            <w:r w:rsidRPr="00ED2C36">
              <w:rPr>
                <w:sz w:val="20"/>
                <w:szCs w:val="20"/>
              </w:rPr>
              <w:t>Valsts sabiedrība ar ierobežotu atbildību “Vides investīciju fonds”</w:t>
            </w:r>
          </w:p>
        </w:tc>
      </w:tr>
      <w:tr w:rsidR="00AB59BD" w:rsidRPr="00ED2C36" w14:paraId="35574A43" w14:textId="77777777" w:rsidTr="00AB59BD">
        <w:tc>
          <w:tcPr>
            <w:tcW w:w="2290" w:type="dxa"/>
          </w:tcPr>
          <w:p w14:paraId="39F00157" w14:textId="77777777" w:rsidR="00AB59BD" w:rsidRPr="00ED2C36" w:rsidRDefault="00AB59BD" w:rsidP="00F87C4A">
            <w:pPr>
              <w:rPr>
                <w:b/>
                <w:sz w:val="20"/>
                <w:szCs w:val="20"/>
              </w:rPr>
            </w:pPr>
            <w:r w:rsidRPr="00ED2C36">
              <w:rPr>
                <w:b/>
                <w:sz w:val="20"/>
                <w:szCs w:val="20"/>
              </w:rPr>
              <w:t>MK</w:t>
            </w:r>
          </w:p>
        </w:tc>
        <w:tc>
          <w:tcPr>
            <w:tcW w:w="12336" w:type="dxa"/>
          </w:tcPr>
          <w:p w14:paraId="47702C10" w14:textId="77777777" w:rsidR="00AB59BD" w:rsidRPr="00ED2C36" w:rsidRDefault="00AB59BD" w:rsidP="00F87C4A">
            <w:pPr>
              <w:rPr>
                <w:sz w:val="20"/>
                <w:szCs w:val="20"/>
              </w:rPr>
            </w:pPr>
            <w:r w:rsidRPr="00ED2C36">
              <w:rPr>
                <w:sz w:val="20"/>
                <w:szCs w:val="20"/>
              </w:rPr>
              <w:t>Ministru kabinets</w:t>
            </w:r>
          </w:p>
        </w:tc>
      </w:tr>
      <w:tr w:rsidR="00AB59BD" w:rsidRPr="00ED2C36" w14:paraId="0941F568" w14:textId="77777777" w:rsidTr="00AB59BD">
        <w:tc>
          <w:tcPr>
            <w:tcW w:w="2290" w:type="dxa"/>
          </w:tcPr>
          <w:p w14:paraId="70C8CE1E" w14:textId="3EF2247B" w:rsidR="00AB59BD" w:rsidRPr="00ED2C36" w:rsidRDefault="00AB59BD" w:rsidP="00266A78">
            <w:pPr>
              <w:rPr>
                <w:b/>
                <w:sz w:val="20"/>
                <w:szCs w:val="20"/>
              </w:rPr>
            </w:pPr>
            <w:r w:rsidRPr="00ED2C36">
              <w:rPr>
                <w:b/>
                <w:sz w:val="20"/>
                <w:szCs w:val="20"/>
              </w:rPr>
              <w:t>MK noteikumi Nr.</w:t>
            </w:r>
            <w:r w:rsidR="00266A78" w:rsidRPr="00ED2C36">
              <w:rPr>
                <w:b/>
                <w:sz w:val="20"/>
                <w:szCs w:val="20"/>
              </w:rPr>
              <w:t xml:space="preserve"> 333</w:t>
            </w:r>
          </w:p>
        </w:tc>
        <w:tc>
          <w:tcPr>
            <w:tcW w:w="12336" w:type="dxa"/>
          </w:tcPr>
          <w:p w14:paraId="629856AC" w14:textId="09C3E5F6" w:rsidR="00AB59BD" w:rsidRPr="00ED2C36" w:rsidRDefault="00AB59BD" w:rsidP="00545726">
            <w:pPr>
              <w:rPr>
                <w:sz w:val="20"/>
                <w:szCs w:val="20"/>
              </w:rPr>
            </w:pPr>
            <w:r w:rsidRPr="00ED2C36">
              <w:rPr>
                <w:sz w:val="20"/>
                <w:szCs w:val="20"/>
              </w:rPr>
              <w:t>Ministru kabineta 201</w:t>
            </w:r>
            <w:r w:rsidR="00545726" w:rsidRPr="00ED2C36">
              <w:rPr>
                <w:sz w:val="20"/>
                <w:szCs w:val="20"/>
              </w:rPr>
              <w:t>8</w:t>
            </w:r>
            <w:r w:rsidRPr="00ED2C36">
              <w:rPr>
                <w:sz w:val="20"/>
                <w:szCs w:val="20"/>
              </w:rPr>
              <w:t>.</w:t>
            </w:r>
            <w:r w:rsidR="00545726" w:rsidRPr="00ED2C36">
              <w:rPr>
                <w:sz w:val="20"/>
                <w:szCs w:val="20"/>
              </w:rPr>
              <w:t xml:space="preserve"> </w:t>
            </w:r>
            <w:r w:rsidRPr="00ED2C36">
              <w:rPr>
                <w:sz w:val="20"/>
                <w:szCs w:val="20"/>
              </w:rPr>
              <w:t xml:space="preserve">gada </w:t>
            </w:r>
            <w:r w:rsidR="00545726" w:rsidRPr="00ED2C36">
              <w:rPr>
                <w:sz w:val="20"/>
                <w:szCs w:val="20"/>
              </w:rPr>
              <w:t>12</w:t>
            </w:r>
            <w:r w:rsidRPr="00ED2C36">
              <w:rPr>
                <w:sz w:val="20"/>
                <w:szCs w:val="20"/>
              </w:rPr>
              <w:t>.</w:t>
            </w:r>
            <w:r w:rsidR="00545726" w:rsidRPr="00ED2C36">
              <w:rPr>
                <w:sz w:val="20"/>
                <w:szCs w:val="20"/>
              </w:rPr>
              <w:t xml:space="preserve"> jūni</w:t>
            </w:r>
            <w:r w:rsidRPr="00ED2C36">
              <w:rPr>
                <w:sz w:val="20"/>
                <w:szCs w:val="20"/>
              </w:rPr>
              <w:t>j</w:t>
            </w:r>
            <w:r w:rsidR="00545726" w:rsidRPr="00ED2C36">
              <w:rPr>
                <w:sz w:val="20"/>
                <w:szCs w:val="20"/>
              </w:rPr>
              <w:t>a</w:t>
            </w:r>
            <w:r w:rsidRPr="00ED2C36">
              <w:rPr>
                <w:sz w:val="20"/>
                <w:szCs w:val="20"/>
              </w:rPr>
              <w:t xml:space="preserve"> noteikumi Nr.</w:t>
            </w:r>
            <w:r w:rsidR="00545726" w:rsidRPr="00ED2C36">
              <w:rPr>
                <w:sz w:val="20"/>
                <w:szCs w:val="20"/>
              </w:rPr>
              <w:t xml:space="preserve"> 333</w:t>
            </w:r>
            <w:r w:rsidRPr="00ED2C36">
              <w:rPr>
                <w:sz w:val="20"/>
                <w:szCs w:val="20"/>
              </w:rPr>
              <w:t xml:space="preserve"> </w:t>
            </w:r>
            <w:r w:rsidR="00545726" w:rsidRPr="00ED2C36">
              <w:rPr>
                <w:sz w:val="20"/>
                <w:szCs w:val="20"/>
              </w:rPr>
              <w:t>“Emisijas kvotu izsolīšanas instrumenta finansēto projektu atklāta konkursa “Siltumnīcefekta gāzu emisiju samazināšana ar viedajām pilsētvides tehnoloģijām” nolikums</w:t>
            </w:r>
            <w:r w:rsidRPr="00ED2C36">
              <w:rPr>
                <w:sz w:val="20"/>
                <w:szCs w:val="20"/>
              </w:rPr>
              <w:t>”</w:t>
            </w:r>
            <w:r w:rsidR="00545726" w:rsidRPr="00ED2C36">
              <w:rPr>
                <w:sz w:val="20"/>
                <w:szCs w:val="20"/>
              </w:rPr>
              <w:t xml:space="preserve"> (</w:t>
            </w:r>
            <w:hyperlink r:id="rId8" w:history="1">
              <w:r w:rsidR="00545726" w:rsidRPr="00ED2C36">
                <w:rPr>
                  <w:rStyle w:val="Hyperlink"/>
                  <w:sz w:val="20"/>
                  <w:szCs w:val="20"/>
                </w:rPr>
                <w:t>https://likumi.lv/ta/id/299903</w:t>
              </w:r>
            </w:hyperlink>
            <w:r w:rsidR="00545726" w:rsidRPr="00ED2C36">
              <w:rPr>
                <w:sz w:val="20"/>
                <w:szCs w:val="20"/>
              </w:rPr>
              <w:t>)</w:t>
            </w:r>
          </w:p>
        </w:tc>
      </w:tr>
      <w:tr w:rsidR="00545726" w:rsidRPr="00ED2C36" w14:paraId="56520D76" w14:textId="77777777" w:rsidTr="0043255E">
        <w:trPr>
          <w:trHeight w:val="56"/>
        </w:trPr>
        <w:tc>
          <w:tcPr>
            <w:tcW w:w="2290" w:type="dxa"/>
          </w:tcPr>
          <w:p w14:paraId="14334D7E" w14:textId="77777777" w:rsidR="00545726" w:rsidRPr="00ED2C36" w:rsidRDefault="00545726" w:rsidP="0043255E">
            <w:pPr>
              <w:rPr>
                <w:b/>
                <w:sz w:val="20"/>
                <w:szCs w:val="20"/>
              </w:rPr>
            </w:pPr>
            <w:r w:rsidRPr="00ED2C36">
              <w:rPr>
                <w:b/>
                <w:sz w:val="20"/>
                <w:szCs w:val="20"/>
              </w:rPr>
              <w:t>N/A</w:t>
            </w:r>
          </w:p>
        </w:tc>
        <w:tc>
          <w:tcPr>
            <w:tcW w:w="12336" w:type="dxa"/>
          </w:tcPr>
          <w:p w14:paraId="0F30985E" w14:textId="77777777" w:rsidR="00545726" w:rsidRPr="00ED2C36" w:rsidRDefault="00545726" w:rsidP="0043255E">
            <w:pPr>
              <w:rPr>
                <w:sz w:val="20"/>
                <w:szCs w:val="20"/>
              </w:rPr>
            </w:pPr>
            <w:r w:rsidRPr="00ED2C36">
              <w:rPr>
                <w:sz w:val="20"/>
                <w:szCs w:val="20"/>
              </w:rPr>
              <w:t>Nav attiecināms</w:t>
            </w:r>
          </w:p>
        </w:tc>
      </w:tr>
      <w:tr w:rsidR="00545726" w:rsidRPr="00ED2C36" w14:paraId="5F6CCC94" w14:textId="77777777" w:rsidTr="00A42AC4">
        <w:tc>
          <w:tcPr>
            <w:tcW w:w="2290" w:type="dxa"/>
          </w:tcPr>
          <w:p w14:paraId="5204C98C" w14:textId="544A234D" w:rsidR="00545726" w:rsidRPr="00ED2C36" w:rsidRDefault="00E557A1" w:rsidP="00A42AC4">
            <w:pPr>
              <w:rPr>
                <w:b/>
                <w:sz w:val="20"/>
                <w:szCs w:val="20"/>
              </w:rPr>
            </w:pPr>
            <w:r>
              <w:rPr>
                <w:b/>
                <w:sz w:val="20"/>
                <w:szCs w:val="20"/>
              </w:rPr>
              <w:t>KEM</w:t>
            </w:r>
          </w:p>
        </w:tc>
        <w:tc>
          <w:tcPr>
            <w:tcW w:w="12336" w:type="dxa"/>
          </w:tcPr>
          <w:p w14:paraId="1CB4CEC3" w14:textId="03DDD073" w:rsidR="00545726" w:rsidRPr="00ED2C36" w:rsidRDefault="00E557A1" w:rsidP="00A42AC4">
            <w:pPr>
              <w:rPr>
                <w:sz w:val="20"/>
                <w:szCs w:val="20"/>
              </w:rPr>
            </w:pPr>
            <w:r>
              <w:rPr>
                <w:sz w:val="20"/>
                <w:szCs w:val="20"/>
              </w:rPr>
              <w:t>Klimata un enerģētikas ministrija</w:t>
            </w:r>
          </w:p>
        </w:tc>
      </w:tr>
    </w:tbl>
    <w:p w14:paraId="2CC7AC74" w14:textId="77777777" w:rsidR="00E557A1" w:rsidRDefault="00E557A1" w:rsidP="00AB59BD"/>
    <w:p w14:paraId="334F1388" w14:textId="16B0F460" w:rsidR="00AB59BD" w:rsidRDefault="00E557A1" w:rsidP="00AB59BD">
      <w:r>
        <w:t xml:space="preserve">Aicinām iepazīties ar I. kārtas ietvaros uzdotajiem jautājumiem un atbildēm: </w:t>
      </w:r>
      <w:hyperlink r:id="rId9" w:history="1">
        <w:r w:rsidRPr="005A6B30">
          <w:rPr>
            <w:rStyle w:val="Hyperlink"/>
          </w:rPr>
          <w:t>https://ekii.lv/uploads/files/EKII/EKII3/EKII_03_jautajumi_atbildes.docx</w:t>
        </w:r>
      </w:hyperlink>
      <w:r>
        <w:t xml:space="preserve"> </w:t>
      </w:r>
    </w:p>
    <w:p w14:paraId="5453BC2A" w14:textId="77777777" w:rsidR="00E557A1" w:rsidRPr="00ED2C36" w:rsidRDefault="00E557A1" w:rsidP="00AB59BD"/>
    <w:tbl>
      <w:tblPr>
        <w:tblStyle w:val="TableGrid"/>
        <w:tblW w:w="5000" w:type="pct"/>
        <w:tblLayout w:type="fixed"/>
        <w:tblCellMar>
          <w:left w:w="28" w:type="dxa"/>
          <w:right w:w="28" w:type="dxa"/>
        </w:tblCellMar>
        <w:tblLook w:val="04A0" w:firstRow="1" w:lastRow="0" w:firstColumn="1" w:lastColumn="0" w:noHBand="0" w:noVBand="1"/>
      </w:tblPr>
      <w:tblGrid>
        <w:gridCol w:w="644"/>
        <w:gridCol w:w="6722"/>
        <w:gridCol w:w="7194"/>
      </w:tblGrid>
      <w:tr w:rsidR="00AB59BD" w:rsidRPr="00ED2C36" w14:paraId="7DE983CE" w14:textId="77777777" w:rsidTr="001D1942">
        <w:trPr>
          <w:cantSplit/>
          <w:tblHeader/>
        </w:trPr>
        <w:tc>
          <w:tcPr>
            <w:tcW w:w="646" w:type="dxa"/>
            <w:shd w:val="clear" w:color="auto" w:fill="C2D69B" w:themeFill="accent3" w:themeFillTint="99"/>
            <w:vAlign w:val="center"/>
          </w:tcPr>
          <w:p w14:paraId="7BAD185A" w14:textId="77777777" w:rsidR="00AB59BD" w:rsidRPr="00ED2C36" w:rsidRDefault="00AB59BD" w:rsidP="00AB59BD">
            <w:pPr>
              <w:jc w:val="center"/>
              <w:rPr>
                <w:b/>
              </w:rPr>
            </w:pPr>
            <w:bookmarkStart w:id="0" w:name="_Hlk174433769"/>
            <w:bookmarkStart w:id="1" w:name="_Hlk174432876"/>
            <w:r w:rsidRPr="00ED2C36">
              <w:rPr>
                <w:b/>
              </w:rPr>
              <w:t>Nr.p.k.</w:t>
            </w:r>
          </w:p>
        </w:tc>
        <w:tc>
          <w:tcPr>
            <w:tcW w:w="6753" w:type="dxa"/>
            <w:shd w:val="clear" w:color="auto" w:fill="C2D69B" w:themeFill="accent3" w:themeFillTint="99"/>
            <w:vAlign w:val="center"/>
          </w:tcPr>
          <w:p w14:paraId="3A8C2DA1" w14:textId="77777777" w:rsidR="00AB59BD" w:rsidRPr="00ED2C36" w:rsidRDefault="00AB59BD" w:rsidP="00F87C4A">
            <w:pPr>
              <w:rPr>
                <w:b/>
              </w:rPr>
            </w:pPr>
            <w:r w:rsidRPr="00ED2C36">
              <w:rPr>
                <w:b/>
              </w:rPr>
              <w:t>Jautājums</w:t>
            </w:r>
          </w:p>
        </w:tc>
        <w:tc>
          <w:tcPr>
            <w:tcW w:w="7227" w:type="dxa"/>
            <w:shd w:val="clear" w:color="auto" w:fill="C2D69B" w:themeFill="accent3" w:themeFillTint="99"/>
            <w:vAlign w:val="center"/>
          </w:tcPr>
          <w:p w14:paraId="2EBF59EC" w14:textId="77777777" w:rsidR="00AB59BD" w:rsidRPr="00ED2C36" w:rsidRDefault="00AB59BD" w:rsidP="00F87C4A">
            <w:pPr>
              <w:rPr>
                <w:b/>
              </w:rPr>
            </w:pPr>
            <w:r w:rsidRPr="00ED2C36">
              <w:rPr>
                <w:b/>
              </w:rPr>
              <w:t>Atbilde</w:t>
            </w:r>
          </w:p>
        </w:tc>
      </w:tr>
      <w:tr w:rsidR="00AB59BD" w:rsidRPr="00ED2C36" w14:paraId="5914A9C3" w14:textId="77777777" w:rsidTr="001D1942">
        <w:trPr>
          <w:cantSplit/>
        </w:trPr>
        <w:tc>
          <w:tcPr>
            <w:tcW w:w="646" w:type="dxa"/>
          </w:tcPr>
          <w:p w14:paraId="02726436" w14:textId="3983F200" w:rsidR="00AB59BD" w:rsidRPr="00ED2C36" w:rsidRDefault="00183B55" w:rsidP="00AB59BD">
            <w:pPr>
              <w:jc w:val="center"/>
              <w:rPr>
                <w:szCs w:val="22"/>
              </w:rPr>
            </w:pPr>
            <w:r>
              <w:rPr>
                <w:szCs w:val="22"/>
              </w:rPr>
              <w:t>1.</w:t>
            </w:r>
          </w:p>
        </w:tc>
        <w:tc>
          <w:tcPr>
            <w:tcW w:w="6753" w:type="dxa"/>
          </w:tcPr>
          <w:p w14:paraId="49986C23" w14:textId="2DA9B059" w:rsidR="00183B55" w:rsidRPr="00183B55" w:rsidRDefault="00183B55" w:rsidP="00183B55">
            <w:pPr>
              <w:jc w:val="both"/>
              <w:rPr>
                <w:szCs w:val="22"/>
              </w:rPr>
            </w:pPr>
            <w:r w:rsidRPr="00183B55">
              <w:rPr>
                <w:szCs w:val="22"/>
              </w:rPr>
              <w:t>Vai jauna viedās sistēmas uzstādīšana ielu apgaismojumam ir attiecināmas izmaksas, ja pašlaik ielu apgaismojumam tādas nav?</w:t>
            </w:r>
          </w:p>
          <w:p w14:paraId="6E334A81" w14:textId="32562892" w:rsidR="00AB59BD" w:rsidRPr="00ED2C36" w:rsidRDefault="00183B55" w:rsidP="00183B55">
            <w:pPr>
              <w:jc w:val="both"/>
              <w:rPr>
                <w:szCs w:val="22"/>
              </w:rPr>
            </w:pPr>
            <w:r w:rsidRPr="00183B55">
              <w:rPr>
                <w:szCs w:val="22"/>
              </w:rPr>
              <w:t>Vai attiecināmajās izmaksās ir iekļaujamas tādas izmaksas, kā ielu apgaismojuma stabu un balstu iegāde un uzstādīšana?</w:t>
            </w:r>
          </w:p>
        </w:tc>
        <w:tc>
          <w:tcPr>
            <w:tcW w:w="7227" w:type="dxa"/>
          </w:tcPr>
          <w:p w14:paraId="2A8F4139" w14:textId="41547AA1" w:rsidR="000278AE" w:rsidRDefault="00183B55" w:rsidP="0000041C">
            <w:pPr>
              <w:jc w:val="both"/>
              <w:rPr>
                <w:szCs w:val="22"/>
              </w:rPr>
            </w:pPr>
            <w:r w:rsidRPr="00183B55">
              <w:rPr>
                <w:szCs w:val="22"/>
              </w:rPr>
              <w:t>MK noteikum</w:t>
            </w:r>
            <w:r>
              <w:rPr>
                <w:szCs w:val="22"/>
              </w:rPr>
              <w:t>u</w:t>
            </w:r>
            <w:r w:rsidRPr="00183B55">
              <w:rPr>
                <w:szCs w:val="22"/>
              </w:rPr>
              <w:t xml:space="preserve"> Nr. 333</w:t>
            </w:r>
            <w:r>
              <w:rPr>
                <w:szCs w:val="22"/>
              </w:rPr>
              <w:t xml:space="preserve"> 24.2. apakšpunkts nosaka</w:t>
            </w:r>
            <w:r w:rsidR="005240D2">
              <w:rPr>
                <w:szCs w:val="22"/>
              </w:rPr>
              <w:t>, ka</w:t>
            </w:r>
            <w:r>
              <w:rPr>
                <w:szCs w:val="22"/>
              </w:rPr>
              <w:t xml:space="preserve"> p</w:t>
            </w:r>
            <w:r w:rsidRPr="00183B55">
              <w:rPr>
                <w:szCs w:val="22"/>
              </w:rPr>
              <w:t>ilsētvides tehnoloģijas šo noteikumu izpratnē ir</w:t>
            </w:r>
            <w:r>
              <w:t xml:space="preserve"> </w:t>
            </w:r>
            <w:r w:rsidRPr="00183B55">
              <w:rPr>
                <w:szCs w:val="22"/>
              </w:rPr>
              <w:t xml:space="preserve">energoefektivitāti veicinošas viedās pilsētvides tehnoloģijas – iekārtas un tehnoloģijas, kas aprīkotas ar lietu interneta viedajām ierīcēm un, </w:t>
            </w:r>
            <w:r w:rsidRPr="00183B55">
              <w:rPr>
                <w:b/>
                <w:bCs/>
                <w:szCs w:val="22"/>
              </w:rPr>
              <w:t>aizstājot</w:t>
            </w:r>
            <w:r w:rsidRPr="00183B55">
              <w:rPr>
                <w:szCs w:val="22"/>
              </w:rPr>
              <w:t xml:space="preserve"> vai </w:t>
            </w:r>
            <w:r w:rsidRPr="00183B55">
              <w:rPr>
                <w:b/>
                <w:bCs/>
                <w:szCs w:val="22"/>
              </w:rPr>
              <w:t>pilnveidojot</w:t>
            </w:r>
            <w:r w:rsidRPr="00183B55">
              <w:rPr>
                <w:szCs w:val="22"/>
              </w:rPr>
              <w:t xml:space="preserve"> </w:t>
            </w:r>
            <w:r w:rsidRPr="00183B55">
              <w:rPr>
                <w:b/>
                <w:bCs/>
                <w:szCs w:val="22"/>
              </w:rPr>
              <w:t>esošās</w:t>
            </w:r>
            <w:r w:rsidRPr="00183B55">
              <w:rPr>
                <w:szCs w:val="22"/>
              </w:rPr>
              <w:t xml:space="preserve"> pilsētvides tehnoloģijas, </w:t>
            </w:r>
            <w:r w:rsidRPr="00183B55">
              <w:rPr>
                <w:b/>
                <w:bCs/>
                <w:szCs w:val="22"/>
              </w:rPr>
              <w:t>samazina siltumnīcefekta gāzu emisijas un enerģijas patēriņa apjomu</w:t>
            </w:r>
            <w:r w:rsidR="00C42721" w:rsidRPr="00C42721">
              <w:rPr>
                <w:szCs w:val="22"/>
              </w:rPr>
              <w:t>.</w:t>
            </w:r>
            <w:r w:rsidR="00C42721">
              <w:rPr>
                <w:szCs w:val="22"/>
              </w:rPr>
              <w:t xml:space="preserve"> Ja jaunu viedo sistēmu uzstādīšana ielu apgaismojumam veicinās </w:t>
            </w:r>
            <w:r w:rsidR="00C42721" w:rsidRPr="00C42721">
              <w:rPr>
                <w:szCs w:val="22"/>
              </w:rPr>
              <w:t>siltumnīcefekta gāzu emisijas un enerģijas patēriņa apjom</w:t>
            </w:r>
            <w:r w:rsidR="00C42721">
              <w:rPr>
                <w:szCs w:val="22"/>
              </w:rPr>
              <w:t>a samazināšanos, tad tādas izmaksas būs attiecināmas.</w:t>
            </w:r>
            <w:r w:rsidR="00C42721">
              <w:t xml:space="preserve"> </w:t>
            </w:r>
            <w:r w:rsidR="00C42721" w:rsidRPr="00C42721">
              <w:rPr>
                <w:szCs w:val="22"/>
              </w:rPr>
              <w:t>Papildus ir jāievēro MK noteikumu Nr. 333 23. punkts, kas nosaka, ka šādos gadījumos ir jābūt saskaņojums ar ražotāju par esošās programmatūras izmantošanu</w:t>
            </w:r>
            <w:r w:rsidR="00C42721">
              <w:rPr>
                <w:szCs w:val="22"/>
              </w:rPr>
              <w:t xml:space="preserve">. </w:t>
            </w:r>
          </w:p>
          <w:p w14:paraId="40BE216A" w14:textId="75251478" w:rsidR="00AB59BD" w:rsidRPr="00ED2C36" w:rsidRDefault="00C42721" w:rsidP="0000041C">
            <w:pPr>
              <w:jc w:val="both"/>
              <w:rPr>
                <w:rFonts w:eastAsiaTheme="minorHAnsi"/>
                <w:szCs w:val="22"/>
              </w:rPr>
            </w:pPr>
            <w:r>
              <w:rPr>
                <w:szCs w:val="22"/>
              </w:rPr>
              <w:t>I</w:t>
            </w:r>
            <w:r w:rsidRPr="00183B55">
              <w:rPr>
                <w:szCs w:val="22"/>
              </w:rPr>
              <w:t>elu apgaismojuma stabu un balstu iegāde un uzstādīšana</w:t>
            </w:r>
            <w:r>
              <w:rPr>
                <w:szCs w:val="22"/>
              </w:rPr>
              <w:t xml:space="preserve"> ir attiecināmas izmaksas, ja vienlaicīgi tiek pilnveidotas </w:t>
            </w:r>
            <w:r w:rsidRPr="00C42721">
              <w:rPr>
                <w:szCs w:val="22"/>
              </w:rPr>
              <w:t>esošās pilsētvides tehnoloģijas</w:t>
            </w:r>
            <w:r>
              <w:rPr>
                <w:szCs w:val="22"/>
              </w:rPr>
              <w:t xml:space="preserve"> un </w:t>
            </w:r>
            <w:r w:rsidR="000278AE" w:rsidRPr="000278AE">
              <w:rPr>
                <w:szCs w:val="22"/>
              </w:rPr>
              <w:t>samazin</w:t>
            </w:r>
            <w:r w:rsidR="000278AE">
              <w:rPr>
                <w:szCs w:val="22"/>
              </w:rPr>
              <w:t>ātas</w:t>
            </w:r>
            <w:r w:rsidR="000278AE" w:rsidRPr="000278AE">
              <w:rPr>
                <w:szCs w:val="22"/>
              </w:rPr>
              <w:t xml:space="preserve"> siltumnīcefekta gāzu emisijas un enerģijas patēriņa apjom</w:t>
            </w:r>
            <w:r w:rsidR="000278AE">
              <w:rPr>
                <w:szCs w:val="22"/>
              </w:rPr>
              <w:t>s.</w:t>
            </w:r>
          </w:p>
        </w:tc>
      </w:tr>
      <w:tr w:rsidR="00C8033A" w:rsidRPr="00ED2C36" w14:paraId="33729573" w14:textId="77777777" w:rsidTr="001D1942">
        <w:trPr>
          <w:cantSplit/>
        </w:trPr>
        <w:tc>
          <w:tcPr>
            <w:tcW w:w="646" w:type="dxa"/>
          </w:tcPr>
          <w:p w14:paraId="0A6AA8DB" w14:textId="1FC39528" w:rsidR="00C8033A" w:rsidRPr="00ED2C36" w:rsidRDefault="00183B55" w:rsidP="00AB59BD">
            <w:pPr>
              <w:jc w:val="center"/>
              <w:rPr>
                <w:szCs w:val="22"/>
              </w:rPr>
            </w:pPr>
            <w:bookmarkStart w:id="2" w:name="_Hlk519760455"/>
            <w:bookmarkEnd w:id="0"/>
            <w:r>
              <w:rPr>
                <w:szCs w:val="22"/>
              </w:rPr>
              <w:lastRenderedPageBreak/>
              <w:t>2.</w:t>
            </w:r>
          </w:p>
        </w:tc>
        <w:tc>
          <w:tcPr>
            <w:tcW w:w="6753" w:type="dxa"/>
          </w:tcPr>
          <w:p w14:paraId="38DC9DD2" w14:textId="063B6F50" w:rsidR="00C8033A" w:rsidRPr="00ED2C36" w:rsidRDefault="00183B55" w:rsidP="004C4915">
            <w:pPr>
              <w:autoSpaceDE w:val="0"/>
              <w:autoSpaceDN w:val="0"/>
              <w:jc w:val="both"/>
              <w:rPr>
                <w:szCs w:val="22"/>
              </w:rPr>
            </w:pPr>
            <w:r>
              <w:rPr>
                <w:szCs w:val="22"/>
              </w:rPr>
              <w:t>V</w:t>
            </w:r>
            <w:r w:rsidRPr="00183B55">
              <w:rPr>
                <w:szCs w:val="22"/>
              </w:rPr>
              <w:t xml:space="preserve">ai iesniegt projekta iesniegumus atklāta konkursa "Siltumnīcefekta gāzu emisiju samazināšana ar viedajām pilsētvides tehnoloģijām" II. kārtas ietvaros ir tiesīga arī </w:t>
            </w:r>
            <w:r w:rsidRPr="00183B55">
              <w:rPr>
                <w:b/>
                <w:bCs/>
                <w:szCs w:val="22"/>
              </w:rPr>
              <w:t>privāta kapitālsabiedrība</w:t>
            </w:r>
            <w:r w:rsidRPr="00183B55">
              <w:rPr>
                <w:szCs w:val="22"/>
              </w:rPr>
              <w:t>, kuras kapitāldaļas pieder vairākām publiskām personām</w:t>
            </w:r>
            <w:r>
              <w:rPr>
                <w:szCs w:val="22"/>
              </w:rPr>
              <w:t>?</w:t>
            </w:r>
          </w:p>
        </w:tc>
        <w:tc>
          <w:tcPr>
            <w:tcW w:w="7227" w:type="dxa"/>
          </w:tcPr>
          <w:p w14:paraId="029F46FA" w14:textId="1C6D645B" w:rsidR="00C8033A" w:rsidRPr="00ED2C36" w:rsidRDefault="00183B55" w:rsidP="0009237A">
            <w:pPr>
              <w:jc w:val="both"/>
              <w:rPr>
                <w:szCs w:val="22"/>
              </w:rPr>
            </w:pPr>
            <w:r w:rsidRPr="00183B55">
              <w:rPr>
                <w:szCs w:val="22"/>
              </w:rPr>
              <w:t>MK noteikum</w:t>
            </w:r>
            <w:r>
              <w:rPr>
                <w:szCs w:val="22"/>
              </w:rPr>
              <w:t>u</w:t>
            </w:r>
            <w:r w:rsidRPr="00183B55">
              <w:rPr>
                <w:szCs w:val="22"/>
              </w:rPr>
              <w:t xml:space="preserve"> Nr. 333</w:t>
            </w:r>
            <w:r>
              <w:rPr>
                <w:szCs w:val="22"/>
              </w:rPr>
              <w:t xml:space="preserve"> 4. punkts nosaka, ka iesniedzējs var būt </w:t>
            </w:r>
            <w:r w:rsidRPr="00183B55">
              <w:rPr>
                <w:szCs w:val="22"/>
              </w:rPr>
              <w:t xml:space="preserve">pašvaldība vai tās iestāde vai </w:t>
            </w:r>
            <w:r w:rsidRPr="00183B55">
              <w:rPr>
                <w:b/>
                <w:bCs/>
                <w:szCs w:val="22"/>
              </w:rPr>
              <w:t>pašvaldības kapitālsabiedrība</w:t>
            </w:r>
            <w:r w:rsidRPr="00183B55">
              <w:rPr>
                <w:szCs w:val="22"/>
              </w:rPr>
              <w:t>, kas pilda pašvaldības deleģētos pārvaldes uzdevumus vai ir noslēgusi līgumu par sabiedrisko pakalpojumu sniegšanu</w:t>
            </w:r>
            <w:r>
              <w:rPr>
                <w:szCs w:val="22"/>
              </w:rPr>
              <w:t>. Saskaņā ar “</w:t>
            </w:r>
            <w:r w:rsidRPr="00183B55">
              <w:rPr>
                <w:szCs w:val="22"/>
              </w:rPr>
              <w:t>Publiskas personas kapitāla daļu un kapitālsabiedrību pārvaldības likums</w:t>
            </w:r>
            <w:r>
              <w:rPr>
                <w:szCs w:val="22"/>
              </w:rPr>
              <w:t>” 1. pantu,</w:t>
            </w:r>
            <w:r>
              <w:t xml:space="preserve"> </w:t>
            </w:r>
            <w:r w:rsidRPr="00183B55">
              <w:rPr>
                <w:szCs w:val="22"/>
              </w:rPr>
              <w:t xml:space="preserve">pašvaldības kapitālsabiedrība </w:t>
            </w:r>
            <w:r w:rsidRPr="00183B55">
              <w:rPr>
                <w:b/>
                <w:bCs/>
                <w:szCs w:val="22"/>
              </w:rPr>
              <w:t>ir kapitālsabiedrība, kurā visas kapitāla daļas vai balsstiesīgās akcijas pieder vienai pašvaldībai</w:t>
            </w:r>
            <w:r>
              <w:rPr>
                <w:szCs w:val="22"/>
              </w:rPr>
              <w:t xml:space="preserve">. Projekta iesniegums, kas neatbildīs </w:t>
            </w:r>
            <w:r w:rsidRPr="00183B55">
              <w:rPr>
                <w:szCs w:val="22"/>
              </w:rPr>
              <w:t>MK noteikumu Nr. 333 4. punkt</w:t>
            </w:r>
            <w:r>
              <w:rPr>
                <w:szCs w:val="22"/>
              </w:rPr>
              <w:t>a nosacījumiem tiks noraidīts.</w:t>
            </w:r>
          </w:p>
        </w:tc>
      </w:tr>
      <w:tr w:rsidR="00EC403C" w:rsidRPr="00ED2C36" w14:paraId="10BFFBD4" w14:textId="77777777" w:rsidTr="001D1942">
        <w:trPr>
          <w:cantSplit/>
        </w:trPr>
        <w:tc>
          <w:tcPr>
            <w:tcW w:w="646" w:type="dxa"/>
          </w:tcPr>
          <w:p w14:paraId="52A5C02C" w14:textId="1D1AE4D1" w:rsidR="00EC403C" w:rsidRPr="00ED2C36" w:rsidRDefault="00D87AAB" w:rsidP="00AB59BD">
            <w:pPr>
              <w:jc w:val="center"/>
              <w:rPr>
                <w:szCs w:val="22"/>
              </w:rPr>
            </w:pPr>
            <w:bookmarkStart w:id="3" w:name="_Hlk175575244"/>
            <w:bookmarkEnd w:id="2"/>
            <w:bookmarkEnd w:id="1"/>
            <w:r>
              <w:rPr>
                <w:szCs w:val="22"/>
              </w:rPr>
              <w:t>3.</w:t>
            </w:r>
          </w:p>
        </w:tc>
        <w:tc>
          <w:tcPr>
            <w:tcW w:w="6753" w:type="dxa"/>
          </w:tcPr>
          <w:p w14:paraId="1F62A143" w14:textId="504697E4" w:rsidR="00D87AAB" w:rsidRPr="00D87AAB" w:rsidRDefault="00D87AAB" w:rsidP="00D87AAB">
            <w:pPr>
              <w:autoSpaceDE w:val="0"/>
              <w:autoSpaceDN w:val="0"/>
              <w:jc w:val="both"/>
              <w:rPr>
                <w:szCs w:val="22"/>
              </w:rPr>
            </w:pPr>
            <w:r w:rsidRPr="00D87AAB">
              <w:rPr>
                <w:szCs w:val="22"/>
              </w:rPr>
              <w:t>Iepriekšējā projekta ietvaros dažās pilsētas ielās esošie nātrija gaismekļi tik</w:t>
            </w:r>
            <w:r>
              <w:rPr>
                <w:szCs w:val="22"/>
              </w:rPr>
              <w:t>a</w:t>
            </w:r>
            <w:r w:rsidRPr="00D87AAB">
              <w:rPr>
                <w:szCs w:val="22"/>
              </w:rPr>
              <w:t xml:space="preserve"> nomainīti uz LED tipa gaismekļiem ar viedām tehnoloģijām – automātisku spilgtuma regulāciju atkarībā no cilvēku/</w:t>
            </w:r>
            <w:r>
              <w:rPr>
                <w:szCs w:val="22"/>
              </w:rPr>
              <w:t xml:space="preserve"> </w:t>
            </w:r>
            <w:r w:rsidRPr="00D87AAB">
              <w:rPr>
                <w:szCs w:val="22"/>
              </w:rPr>
              <w:t>automobiļu klātbūtnes un gaisa piesārņojuma un laika apstākļu moduli.</w:t>
            </w:r>
          </w:p>
          <w:p w14:paraId="3BCA392B" w14:textId="25D13B6B" w:rsidR="00EC403C" w:rsidRPr="00ED2C36" w:rsidRDefault="00D87AAB" w:rsidP="00D87AAB">
            <w:pPr>
              <w:autoSpaceDE w:val="0"/>
              <w:autoSpaceDN w:val="0"/>
              <w:jc w:val="both"/>
              <w:rPr>
                <w:szCs w:val="22"/>
              </w:rPr>
            </w:pPr>
            <w:r w:rsidRPr="00D87AAB">
              <w:rPr>
                <w:szCs w:val="22"/>
              </w:rPr>
              <w:t xml:space="preserve">Vai būtu attiecināmas izmaksas projektā, kas paredz </w:t>
            </w:r>
            <w:r w:rsidRPr="00D87AAB">
              <w:rPr>
                <w:b/>
                <w:bCs/>
                <w:szCs w:val="22"/>
              </w:rPr>
              <w:t>tikai nātrija gaismekļu nomaiņu uz LED gaismekļiem citās pilsētas ielās</w:t>
            </w:r>
            <w:r w:rsidRPr="00D87AAB">
              <w:rPr>
                <w:szCs w:val="22"/>
              </w:rPr>
              <w:t xml:space="preserve"> un pieslēgšanās pie </w:t>
            </w:r>
            <w:proofErr w:type="spellStart"/>
            <w:r w:rsidRPr="00D87AAB">
              <w:rPr>
                <w:szCs w:val="22"/>
              </w:rPr>
              <w:t>iepriekšizveidotās</w:t>
            </w:r>
            <w:proofErr w:type="spellEnd"/>
            <w:r w:rsidRPr="00D87AAB">
              <w:rPr>
                <w:szCs w:val="22"/>
              </w:rPr>
              <w:t xml:space="preserve"> sistēmas?</w:t>
            </w:r>
          </w:p>
        </w:tc>
        <w:tc>
          <w:tcPr>
            <w:tcW w:w="7227" w:type="dxa"/>
          </w:tcPr>
          <w:p w14:paraId="57FFF0A6" w14:textId="3C22AAAC" w:rsidR="00EC403C" w:rsidRPr="00ED2C36" w:rsidRDefault="00D87AAB" w:rsidP="00910B77">
            <w:pPr>
              <w:jc w:val="both"/>
              <w:rPr>
                <w:szCs w:val="22"/>
              </w:rPr>
            </w:pPr>
            <w:r w:rsidRPr="00713DB1">
              <w:rPr>
                <w:b/>
                <w:bCs/>
                <w:szCs w:val="22"/>
              </w:rPr>
              <w:t>Tikai nātrija gaismekļu nomaiņ</w:t>
            </w:r>
            <w:r w:rsidR="00713DB1" w:rsidRPr="00713DB1">
              <w:rPr>
                <w:b/>
                <w:bCs/>
                <w:szCs w:val="22"/>
              </w:rPr>
              <w:t>a</w:t>
            </w:r>
            <w:r w:rsidRPr="00713DB1">
              <w:rPr>
                <w:b/>
                <w:bCs/>
                <w:szCs w:val="22"/>
              </w:rPr>
              <w:t xml:space="preserve"> uz LED gaismekļiem nav atbalstāma</w:t>
            </w:r>
            <w:r>
              <w:rPr>
                <w:szCs w:val="22"/>
              </w:rPr>
              <w:t xml:space="preserve">. Atbalstāma būtu </w:t>
            </w:r>
            <w:r w:rsidR="00713DB1" w:rsidRPr="00713DB1">
              <w:rPr>
                <w:szCs w:val="22"/>
              </w:rPr>
              <w:t xml:space="preserve">nātrija gaismekļu </w:t>
            </w:r>
            <w:r>
              <w:rPr>
                <w:szCs w:val="22"/>
              </w:rPr>
              <w:t>nomaiņa uz LED gaismekļiem</w:t>
            </w:r>
            <w:r w:rsidRPr="00D87AAB">
              <w:rPr>
                <w:szCs w:val="22"/>
              </w:rPr>
              <w:t>, kas aprīkot</w:t>
            </w:r>
            <w:r>
              <w:rPr>
                <w:szCs w:val="22"/>
              </w:rPr>
              <w:t>i</w:t>
            </w:r>
            <w:r w:rsidRPr="00D87AAB">
              <w:rPr>
                <w:szCs w:val="22"/>
              </w:rPr>
              <w:t xml:space="preserve"> ar lietu interneta viedajām ierīcēm</w:t>
            </w:r>
            <w:r>
              <w:rPr>
                <w:szCs w:val="22"/>
              </w:rPr>
              <w:t xml:space="preserve"> (kontrolieriem)</w:t>
            </w:r>
            <w:r w:rsidR="00502074">
              <w:rPr>
                <w:szCs w:val="22"/>
              </w:rPr>
              <w:t>,</w:t>
            </w:r>
            <w:r w:rsidR="00713DB1">
              <w:rPr>
                <w:szCs w:val="22"/>
              </w:rPr>
              <w:t xml:space="preserve"> un</w:t>
            </w:r>
            <w:r>
              <w:rPr>
                <w:szCs w:val="22"/>
              </w:rPr>
              <w:t xml:space="preserve"> kas </w:t>
            </w:r>
            <w:r w:rsidR="00713DB1">
              <w:rPr>
                <w:szCs w:val="22"/>
              </w:rPr>
              <w:t>tiks</w:t>
            </w:r>
            <w:r>
              <w:rPr>
                <w:szCs w:val="22"/>
              </w:rPr>
              <w:t xml:space="preserve"> pieslēgt</w:t>
            </w:r>
            <w:r w:rsidR="00713DB1">
              <w:rPr>
                <w:szCs w:val="22"/>
              </w:rPr>
              <w:t>i</w:t>
            </w:r>
            <w:r>
              <w:rPr>
                <w:szCs w:val="22"/>
              </w:rPr>
              <w:t xml:space="preserve"> pie esošās </w:t>
            </w:r>
            <w:r w:rsidR="00713DB1">
              <w:rPr>
                <w:szCs w:val="22"/>
              </w:rPr>
              <w:t>vadības sistēmas</w:t>
            </w:r>
            <w:r w:rsidR="00502074">
              <w:rPr>
                <w:szCs w:val="22"/>
              </w:rPr>
              <w:t>,</w:t>
            </w:r>
            <w:r w:rsidR="00713DB1">
              <w:rPr>
                <w:szCs w:val="22"/>
              </w:rPr>
              <w:t xml:space="preserve"> un kas tiks pamatots projekta iesnieguma veidlapā.</w:t>
            </w:r>
          </w:p>
        </w:tc>
      </w:tr>
      <w:tr w:rsidR="00EC403C" w:rsidRPr="00ED2C36" w14:paraId="6F9DE4FC" w14:textId="77777777" w:rsidTr="001D1942">
        <w:trPr>
          <w:cantSplit/>
        </w:trPr>
        <w:tc>
          <w:tcPr>
            <w:tcW w:w="646" w:type="dxa"/>
          </w:tcPr>
          <w:p w14:paraId="302CC098" w14:textId="352D01FC" w:rsidR="00EC403C" w:rsidRPr="00ED2C36" w:rsidRDefault="00441A99" w:rsidP="00AB59BD">
            <w:pPr>
              <w:jc w:val="center"/>
              <w:rPr>
                <w:szCs w:val="22"/>
              </w:rPr>
            </w:pPr>
            <w:bookmarkStart w:id="4" w:name="_Hlk175655474"/>
            <w:bookmarkEnd w:id="3"/>
            <w:r>
              <w:rPr>
                <w:szCs w:val="22"/>
              </w:rPr>
              <w:t>4.</w:t>
            </w:r>
          </w:p>
        </w:tc>
        <w:tc>
          <w:tcPr>
            <w:tcW w:w="6753" w:type="dxa"/>
          </w:tcPr>
          <w:p w14:paraId="3FE5531F" w14:textId="57EDC061" w:rsidR="00EC403C" w:rsidRPr="00ED2C36" w:rsidRDefault="00441A99" w:rsidP="00DD3A2F">
            <w:pPr>
              <w:autoSpaceDE w:val="0"/>
              <w:autoSpaceDN w:val="0"/>
              <w:jc w:val="both"/>
              <w:rPr>
                <w:szCs w:val="22"/>
              </w:rPr>
            </w:pPr>
            <w:r>
              <w:rPr>
                <w:szCs w:val="22"/>
              </w:rPr>
              <w:t>V</w:t>
            </w:r>
            <w:r w:rsidRPr="00441A99">
              <w:rPr>
                <w:szCs w:val="22"/>
              </w:rPr>
              <w:t>ai projektā var attiecināt pašvaldības bilancē esošu apgaismojuma gaismekļu nomaiņu pret viedā risinājuma gaismekļiem, ja paši gaismekļi atrodas uz Sadales tīklam piederošiem stabiem</w:t>
            </w:r>
            <w:r>
              <w:rPr>
                <w:szCs w:val="22"/>
              </w:rPr>
              <w:t>?</w:t>
            </w:r>
          </w:p>
        </w:tc>
        <w:tc>
          <w:tcPr>
            <w:tcW w:w="7227" w:type="dxa"/>
          </w:tcPr>
          <w:p w14:paraId="5BB2A62D" w14:textId="7A473461" w:rsidR="00EC403C" w:rsidRPr="00ED2C36" w:rsidRDefault="00441A99" w:rsidP="007B6E8E">
            <w:pPr>
              <w:jc w:val="both"/>
              <w:rPr>
                <w:szCs w:val="22"/>
              </w:rPr>
            </w:pPr>
            <w:bookmarkStart w:id="5" w:name="_Hlk176960950"/>
            <w:r w:rsidRPr="00ED2C36">
              <w:rPr>
                <w:rFonts w:eastAsiaTheme="minorHAnsi"/>
                <w:szCs w:val="22"/>
              </w:rPr>
              <w:t>MK noteikumu Nr. 333 14.</w:t>
            </w:r>
            <w:r>
              <w:rPr>
                <w:rFonts w:eastAsiaTheme="minorHAnsi"/>
                <w:szCs w:val="22"/>
              </w:rPr>
              <w:t>1</w:t>
            </w:r>
            <w:r w:rsidRPr="00ED2C36">
              <w:rPr>
                <w:rFonts w:eastAsiaTheme="minorHAnsi"/>
                <w:szCs w:val="22"/>
              </w:rPr>
              <w:t>.</w:t>
            </w:r>
            <w:r>
              <w:rPr>
                <w:rFonts w:eastAsiaTheme="minorHAnsi"/>
                <w:szCs w:val="22"/>
              </w:rPr>
              <w:t>3.</w:t>
            </w:r>
            <w:r w:rsidRPr="00ED2C36">
              <w:rPr>
                <w:rFonts w:eastAsiaTheme="minorHAnsi"/>
                <w:szCs w:val="22"/>
              </w:rPr>
              <w:t xml:space="preserve"> </w:t>
            </w:r>
            <w:r w:rsidR="006E1E6C">
              <w:rPr>
                <w:rFonts w:eastAsiaTheme="minorHAnsi"/>
                <w:szCs w:val="22"/>
              </w:rPr>
              <w:t>apakš</w:t>
            </w:r>
            <w:r w:rsidRPr="00ED2C36">
              <w:rPr>
                <w:rFonts w:eastAsiaTheme="minorHAnsi"/>
                <w:szCs w:val="22"/>
              </w:rPr>
              <w:t xml:space="preserve">punktā ir noteikts, ka </w:t>
            </w:r>
            <w:r w:rsidRPr="00AD4080">
              <w:rPr>
                <w:rFonts w:eastAsiaTheme="minorHAnsi"/>
                <w:szCs w:val="22"/>
              </w:rPr>
              <w:t xml:space="preserve">projektā iekļautās aktivitātes ir plānots īstenot </w:t>
            </w:r>
            <w:r w:rsidRPr="00AD4080">
              <w:rPr>
                <w:rFonts w:eastAsiaTheme="minorHAnsi"/>
                <w:b/>
                <w:szCs w:val="22"/>
              </w:rPr>
              <w:t xml:space="preserve">ēkā vai uz zemes, kas </w:t>
            </w:r>
            <w:r w:rsidRPr="00441A99">
              <w:rPr>
                <w:rFonts w:eastAsiaTheme="minorHAnsi"/>
                <w:b/>
                <w:szCs w:val="22"/>
              </w:rPr>
              <w:t>atrodas pašvaldības publiskajā teritorijā un ir projekta iesniedzēja bilancē (attiecas uz apgaismojuma infrastruktūru)</w:t>
            </w:r>
            <w:r>
              <w:rPr>
                <w:rFonts w:eastAsiaTheme="minorHAnsi"/>
                <w:b/>
                <w:szCs w:val="22"/>
              </w:rPr>
              <w:t xml:space="preserve"> </w:t>
            </w:r>
            <w:bookmarkEnd w:id="5"/>
            <w:r>
              <w:rPr>
                <w:rFonts w:eastAsiaTheme="minorHAnsi"/>
                <w:szCs w:val="22"/>
              </w:rPr>
              <w:t xml:space="preserve">un no jautājuma noprotams, ka atbilst minētajam nosacījumam. </w:t>
            </w:r>
            <w:r w:rsidR="00CC6494">
              <w:rPr>
                <w:rFonts w:eastAsiaTheme="minorHAnsi"/>
                <w:szCs w:val="22"/>
              </w:rPr>
              <w:t>P</w:t>
            </w:r>
            <w:r>
              <w:rPr>
                <w:rFonts w:eastAsiaTheme="minorHAnsi"/>
                <w:szCs w:val="22"/>
              </w:rPr>
              <w:t xml:space="preserve">rojekta iesniegumam </w:t>
            </w:r>
            <w:r w:rsidRPr="00AC5DEA">
              <w:rPr>
                <w:rFonts w:eastAsiaTheme="minorHAnsi"/>
                <w:b/>
                <w:szCs w:val="22"/>
              </w:rPr>
              <w:t>pievieno rakstisku saskaņojumu</w:t>
            </w:r>
            <w:r>
              <w:rPr>
                <w:rFonts w:eastAsiaTheme="minorHAnsi"/>
                <w:szCs w:val="22"/>
              </w:rPr>
              <w:t xml:space="preserve"> ar Sadales tīklu par gaismekļu nomaiņu. </w:t>
            </w:r>
            <w:r w:rsidR="00CC6494">
              <w:rPr>
                <w:rFonts w:eastAsiaTheme="minorHAnsi"/>
                <w:szCs w:val="22"/>
              </w:rPr>
              <w:t xml:space="preserve">Izmaksas, kas saistītas ar stabu pielāgošanu vai remontu, nav attiecināmās izmaksas. </w:t>
            </w:r>
            <w:r>
              <w:rPr>
                <w:rFonts w:eastAsiaTheme="minorHAnsi"/>
                <w:szCs w:val="22"/>
              </w:rPr>
              <w:t>Uzstādāmajiem</w:t>
            </w:r>
            <w:r w:rsidRPr="00B67C12">
              <w:rPr>
                <w:rFonts w:eastAsiaTheme="minorHAnsi"/>
                <w:szCs w:val="22"/>
              </w:rPr>
              <w:t xml:space="preserve"> gaismekļiem ir jāatbilst viedās p</w:t>
            </w:r>
            <w:r>
              <w:rPr>
                <w:rFonts w:eastAsiaTheme="minorHAnsi"/>
                <w:szCs w:val="22"/>
              </w:rPr>
              <w:t>i</w:t>
            </w:r>
            <w:r w:rsidRPr="00B67C12">
              <w:rPr>
                <w:rFonts w:eastAsiaTheme="minorHAnsi"/>
                <w:szCs w:val="22"/>
              </w:rPr>
              <w:t>lsētvides tehnoloģijas nosacījumiem</w:t>
            </w:r>
            <w:r>
              <w:rPr>
                <w:rFonts w:eastAsiaTheme="minorHAnsi"/>
                <w:szCs w:val="22"/>
              </w:rPr>
              <w:t>.</w:t>
            </w:r>
          </w:p>
        </w:tc>
      </w:tr>
      <w:tr w:rsidR="002C1368" w:rsidRPr="00ED2C36" w14:paraId="62DBED5E" w14:textId="77777777" w:rsidTr="001D1942">
        <w:trPr>
          <w:cantSplit/>
        </w:trPr>
        <w:tc>
          <w:tcPr>
            <w:tcW w:w="646" w:type="dxa"/>
          </w:tcPr>
          <w:p w14:paraId="0F8EC937" w14:textId="12DFA424" w:rsidR="002C1368" w:rsidRPr="00ED2C36" w:rsidRDefault="005658ED" w:rsidP="00F9772C">
            <w:pPr>
              <w:jc w:val="center"/>
              <w:rPr>
                <w:szCs w:val="22"/>
              </w:rPr>
            </w:pPr>
            <w:bookmarkStart w:id="6" w:name="_Hlk175669141"/>
            <w:bookmarkEnd w:id="4"/>
            <w:r>
              <w:rPr>
                <w:szCs w:val="22"/>
              </w:rPr>
              <w:t>5.</w:t>
            </w:r>
          </w:p>
        </w:tc>
        <w:tc>
          <w:tcPr>
            <w:tcW w:w="6753" w:type="dxa"/>
          </w:tcPr>
          <w:p w14:paraId="73CA030B" w14:textId="783F6F55" w:rsidR="002C1368" w:rsidRPr="00ED2C36" w:rsidRDefault="005658ED" w:rsidP="00176CD7">
            <w:pPr>
              <w:autoSpaceDE w:val="0"/>
              <w:autoSpaceDN w:val="0"/>
              <w:jc w:val="both"/>
              <w:rPr>
                <w:szCs w:val="22"/>
              </w:rPr>
            </w:pPr>
            <w:r w:rsidRPr="005658ED">
              <w:rPr>
                <w:szCs w:val="22"/>
              </w:rPr>
              <w:t>Pašvaldības iestāde vai pašvaldības kapitālsabiedrība, kas veic pašvaldības deleģēto pārvaldes uzdevumu izpildi vai ir noslēgusi līgumu par sabiedrisko pakalpojumu sniegšanu, katra var iesniegt ne vairāk kā divus projekta iesniegumus</w:t>
            </w:r>
            <w:r>
              <w:rPr>
                <w:szCs w:val="22"/>
              </w:rPr>
              <w:t>?</w:t>
            </w:r>
          </w:p>
        </w:tc>
        <w:tc>
          <w:tcPr>
            <w:tcW w:w="7227" w:type="dxa"/>
          </w:tcPr>
          <w:p w14:paraId="27E3A273" w14:textId="1B68AF2D" w:rsidR="002C1368" w:rsidRPr="00ED2C36" w:rsidRDefault="005658ED">
            <w:pPr>
              <w:autoSpaceDE w:val="0"/>
              <w:autoSpaceDN w:val="0"/>
              <w:jc w:val="both"/>
              <w:rPr>
                <w:rFonts w:eastAsiaTheme="minorHAnsi"/>
                <w:szCs w:val="22"/>
              </w:rPr>
            </w:pPr>
            <w:r w:rsidRPr="005658ED">
              <w:rPr>
                <w:rFonts w:eastAsiaTheme="minorHAnsi"/>
                <w:szCs w:val="22"/>
              </w:rPr>
              <w:t xml:space="preserve">MK noteikumu Nr. 333 </w:t>
            </w:r>
            <w:r>
              <w:rPr>
                <w:rFonts w:eastAsiaTheme="minorHAnsi"/>
                <w:szCs w:val="22"/>
              </w:rPr>
              <w:t>13</w:t>
            </w:r>
            <w:r w:rsidRPr="005658ED">
              <w:rPr>
                <w:rFonts w:eastAsiaTheme="minorHAnsi"/>
                <w:szCs w:val="22"/>
              </w:rPr>
              <w:t>. punkts nosaka, ka</w:t>
            </w:r>
            <w:r>
              <w:t xml:space="preserve"> </w:t>
            </w:r>
            <w:r w:rsidRPr="005658ED">
              <w:rPr>
                <w:b/>
                <w:bCs/>
              </w:rPr>
              <w:t>katram p</w:t>
            </w:r>
            <w:r w:rsidRPr="005658ED">
              <w:rPr>
                <w:rFonts w:eastAsiaTheme="minorHAnsi"/>
                <w:b/>
                <w:bCs/>
                <w:szCs w:val="22"/>
              </w:rPr>
              <w:t>rojekta iesniedzējam</w:t>
            </w:r>
            <w:r>
              <w:rPr>
                <w:rFonts w:eastAsiaTheme="minorHAnsi"/>
                <w:b/>
                <w:bCs/>
                <w:szCs w:val="22"/>
              </w:rPr>
              <w:t xml:space="preserve"> (</w:t>
            </w:r>
            <w:r>
              <w:rPr>
                <w:rFonts w:eastAsiaTheme="minorHAnsi"/>
                <w:szCs w:val="22"/>
              </w:rPr>
              <w:t>atšķirīgs</w:t>
            </w:r>
            <w:r w:rsidRPr="005658ED">
              <w:rPr>
                <w:rFonts w:eastAsiaTheme="minorHAnsi"/>
                <w:szCs w:val="22"/>
              </w:rPr>
              <w:t xml:space="preserve"> nodokļu maksātāja reģistrācijas kods</w:t>
            </w:r>
            <w:r>
              <w:rPr>
                <w:rFonts w:eastAsiaTheme="minorHAnsi"/>
                <w:b/>
                <w:bCs/>
                <w:szCs w:val="22"/>
              </w:rPr>
              <w:t>)</w:t>
            </w:r>
            <w:r w:rsidRPr="005658ED">
              <w:rPr>
                <w:rFonts w:eastAsiaTheme="minorHAnsi"/>
                <w:b/>
                <w:bCs/>
                <w:szCs w:val="22"/>
              </w:rPr>
              <w:t xml:space="preserve"> ir tiesības iesniegt ne vairāk kā divus projektu iesniegumus</w:t>
            </w:r>
            <w:r>
              <w:rPr>
                <w:rFonts w:eastAsiaTheme="minorHAnsi"/>
                <w:szCs w:val="22"/>
              </w:rPr>
              <w:t xml:space="preserve">. </w:t>
            </w:r>
          </w:p>
        </w:tc>
      </w:tr>
      <w:tr w:rsidR="005658ED" w:rsidRPr="00ED2C36" w14:paraId="25095929" w14:textId="77777777" w:rsidTr="001D1942">
        <w:trPr>
          <w:cantSplit/>
        </w:trPr>
        <w:tc>
          <w:tcPr>
            <w:tcW w:w="646" w:type="dxa"/>
          </w:tcPr>
          <w:p w14:paraId="24D4FF8E" w14:textId="6C747849" w:rsidR="005658ED" w:rsidRPr="00ED2C36" w:rsidRDefault="005658ED" w:rsidP="00F9772C">
            <w:pPr>
              <w:jc w:val="center"/>
            </w:pPr>
            <w:r>
              <w:t>6.</w:t>
            </w:r>
          </w:p>
        </w:tc>
        <w:tc>
          <w:tcPr>
            <w:tcW w:w="6753" w:type="dxa"/>
          </w:tcPr>
          <w:p w14:paraId="1A5CA51C" w14:textId="495E4696" w:rsidR="005658ED" w:rsidRPr="00ED2C36" w:rsidRDefault="005658ED" w:rsidP="00176CD7">
            <w:pPr>
              <w:autoSpaceDE w:val="0"/>
              <w:autoSpaceDN w:val="0"/>
              <w:jc w:val="both"/>
            </w:pPr>
            <w:r w:rsidRPr="005658ED">
              <w:t>Vai vienā projekta pieteikumā, kuru plāno iesniegt pašvaldība, var iekļaut vairākus pašvaldības iestāžu objektus (ēkas, uz kuru jumtiem plānots uzstādīt saules elektrostacijas ar viedo vadību)?</w:t>
            </w:r>
          </w:p>
        </w:tc>
        <w:tc>
          <w:tcPr>
            <w:tcW w:w="7227" w:type="dxa"/>
          </w:tcPr>
          <w:p w14:paraId="6F36D153" w14:textId="4BA31650" w:rsidR="005658ED" w:rsidRPr="00ED2C36" w:rsidRDefault="006E1E6C">
            <w:pPr>
              <w:autoSpaceDE w:val="0"/>
              <w:autoSpaceDN w:val="0"/>
              <w:jc w:val="both"/>
            </w:pPr>
            <w:r w:rsidRPr="00ED2C36">
              <w:rPr>
                <w:rFonts w:eastAsiaTheme="minorHAnsi"/>
                <w:szCs w:val="22"/>
              </w:rPr>
              <w:t>MK noteikum</w:t>
            </w:r>
            <w:r>
              <w:rPr>
                <w:rFonts w:eastAsiaTheme="minorHAnsi"/>
                <w:szCs w:val="22"/>
              </w:rPr>
              <w:t>i</w:t>
            </w:r>
            <w:r w:rsidRPr="00ED2C36">
              <w:rPr>
                <w:rFonts w:eastAsiaTheme="minorHAnsi"/>
                <w:szCs w:val="22"/>
              </w:rPr>
              <w:t xml:space="preserve"> Nr. 333</w:t>
            </w:r>
            <w:r>
              <w:rPr>
                <w:rFonts w:eastAsiaTheme="minorHAnsi"/>
                <w:szCs w:val="22"/>
              </w:rPr>
              <w:t xml:space="preserve"> </w:t>
            </w:r>
            <w:r w:rsidRPr="006E1E6C">
              <w:rPr>
                <w:rFonts w:eastAsiaTheme="minorHAnsi"/>
                <w:b/>
                <w:bCs/>
                <w:szCs w:val="22"/>
              </w:rPr>
              <w:t>neierobežo objektu skaitu</w:t>
            </w:r>
            <w:r>
              <w:rPr>
                <w:rFonts w:eastAsiaTheme="minorHAnsi"/>
                <w:szCs w:val="22"/>
              </w:rPr>
              <w:t xml:space="preserve">, bet ir jāievēro </w:t>
            </w:r>
            <w:r w:rsidRPr="006E1E6C">
              <w:rPr>
                <w:rFonts w:eastAsiaTheme="minorHAnsi"/>
                <w:szCs w:val="22"/>
              </w:rPr>
              <w:t>MK noteikumu Nr. 333 14.</w:t>
            </w:r>
            <w:r>
              <w:rPr>
                <w:rFonts w:eastAsiaTheme="minorHAnsi"/>
                <w:szCs w:val="22"/>
              </w:rPr>
              <w:t>1. un 14.2. apakš</w:t>
            </w:r>
            <w:r w:rsidRPr="006E1E6C">
              <w:rPr>
                <w:rFonts w:eastAsiaTheme="minorHAnsi"/>
                <w:szCs w:val="22"/>
              </w:rPr>
              <w:t>punkt</w:t>
            </w:r>
            <w:r>
              <w:rPr>
                <w:rFonts w:eastAsiaTheme="minorHAnsi"/>
                <w:szCs w:val="22"/>
              </w:rPr>
              <w:t>os noteiktās prasības par projekta īstenošanas vietu.</w:t>
            </w:r>
          </w:p>
        </w:tc>
      </w:tr>
      <w:tr w:rsidR="005658ED" w:rsidRPr="00ED2C36" w14:paraId="128C1646" w14:textId="77777777" w:rsidTr="001D1942">
        <w:trPr>
          <w:cantSplit/>
        </w:trPr>
        <w:tc>
          <w:tcPr>
            <w:tcW w:w="646" w:type="dxa"/>
          </w:tcPr>
          <w:p w14:paraId="72AE450B" w14:textId="2C17B7DF" w:rsidR="005658ED" w:rsidRPr="00ED2C36" w:rsidRDefault="005658ED" w:rsidP="00F9772C">
            <w:pPr>
              <w:jc w:val="center"/>
            </w:pPr>
            <w:r>
              <w:t>7.</w:t>
            </w:r>
          </w:p>
        </w:tc>
        <w:tc>
          <w:tcPr>
            <w:tcW w:w="6753" w:type="dxa"/>
          </w:tcPr>
          <w:p w14:paraId="229BBE52" w14:textId="5B92F71F" w:rsidR="005658ED" w:rsidRPr="00ED2C36" w:rsidRDefault="005658ED" w:rsidP="00176CD7">
            <w:pPr>
              <w:autoSpaceDE w:val="0"/>
              <w:autoSpaceDN w:val="0"/>
              <w:jc w:val="both"/>
            </w:pPr>
            <w:r w:rsidRPr="005658ED">
              <w:t>Vai Konkursa 2. kārtas ietvaros ir atbalstāma viedo luksoforu ar saules baterijām iegāde un uzstādīšana? Vai šāda veida projektam CO</w:t>
            </w:r>
            <w:r w:rsidRPr="005658ED">
              <w:rPr>
                <w:vertAlign w:val="subscript"/>
              </w:rPr>
              <w:t>2</w:t>
            </w:r>
            <w:r w:rsidRPr="005658ED">
              <w:t xml:space="preserve"> emisiju samazinājuma efektivitātes rādītājs (≥0,1 kgCO</w:t>
            </w:r>
            <w:r w:rsidRPr="005658ED">
              <w:rPr>
                <w:vertAlign w:val="subscript"/>
              </w:rPr>
              <w:t>2</w:t>
            </w:r>
            <w:r w:rsidRPr="005658ED">
              <w:t>/EUR gadā) ir attiecināms?</w:t>
            </w:r>
          </w:p>
        </w:tc>
        <w:tc>
          <w:tcPr>
            <w:tcW w:w="7227" w:type="dxa"/>
          </w:tcPr>
          <w:p w14:paraId="4BE10510" w14:textId="2CCF6F82" w:rsidR="005658ED" w:rsidRPr="00ED2C36" w:rsidRDefault="006E1E6C">
            <w:pPr>
              <w:autoSpaceDE w:val="0"/>
              <w:autoSpaceDN w:val="0"/>
              <w:jc w:val="both"/>
            </w:pPr>
            <w:r>
              <w:t>V</w:t>
            </w:r>
            <w:r w:rsidRPr="006E1E6C">
              <w:t>iedo luksoforu ar saules baterijām iegāde un uzstādīšana</w:t>
            </w:r>
            <w:r w:rsidR="008F7A19">
              <w:t>, nomainot vecos luksoforus,</w:t>
            </w:r>
            <w:r>
              <w:t xml:space="preserve"> būtu uzskatāma par </w:t>
            </w:r>
            <w:r w:rsidRPr="006E1E6C">
              <w:t>energoefektivitāti veicinošu viedo pilsētvides tehnoloģiju ieviešan</w:t>
            </w:r>
            <w:r>
              <w:t>u</w:t>
            </w:r>
            <w:r w:rsidR="00270AB4">
              <w:t>, kas samazinātu elektroenerģijas patēriņu</w:t>
            </w:r>
            <w:r w:rsidR="008F7A19">
              <w:t>,</w:t>
            </w:r>
            <w:r w:rsidR="00270AB4">
              <w:t xml:space="preserve"> un </w:t>
            </w:r>
            <w:r w:rsidR="00270AB4" w:rsidRPr="00270AB4">
              <w:t xml:space="preserve">MK noteikumu Nr. 333 </w:t>
            </w:r>
            <w:r w:rsidR="00270AB4">
              <w:t>9</w:t>
            </w:r>
            <w:r w:rsidR="00270AB4" w:rsidRPr="00270AB4">
              <w:t>.</w:t>
            </w:r>
            <w:r w:rsidR="00270AB4">
              <w:t> </w:t>
            </w:r>
            <w:r w:rsidR="00270AB4" w:rsidRPr="00270AB4">
              <w:t>punkt</w:t>
            </w:r>
            <w:r w:rsidR="008F7A19">
              <w:t>ā noteiktais e</w:t>
            </w:r>
            <w:r w:rsidR="008F7A19" w:rsidRPr="008F7A19">
              <w:t xml:space="preserve">fektivitātes rādītājs </w:t>
            </w:r>
            <w:r w:rsidR="008F7A19" w:rsidRPr="008F7A19">
              <w:rPr>
                <w:b/>
                <w:bCs/>
              </w:rPr>
              <w:t>nav attiecināms</w:t>
            </w:r>
            <w:r w:rsidR="008F7A19">
              <w:t>.</w:t>
            </w:r>
          </w:p>
        </w:tc>
      </w:tr>
      <w:tr w:rsidR="005658ED" w:rsidRPr="00ED2C36" w14:paraId="20E030B7" w14:textId="77777777" w:rsidTr="001D1942">
        <w:trPr>
          <w:cantSplit/>
        </w:trPr>
        <w:tc>
          <w:tcPr>
            <w:tcW w:w="646" w:type="dxa"/>
          </w:tcPr>
          <w:p w14:paraId="233F3EA4" w14:textId="2DD3D9B8" w:rsidR="005658ED" w:rsidRPr="003B65A2" w:rsidRDefault="00F37C41" w:rsidP="00F9772C">
            <w:pPr>
              <w:jc w:val="center"/>
              <w:rPr>
                <w:color w:val="FF0000"/>
              </w:rPr>
            </w:pPr>
            <w:bookmarkStart w:id="7" w:name="_Hlk175742102"/>
            <w:bookmarkStart w:id="8" w:name="_Hlk176960693"/>
            <w:bookmarkEnd w:id="6"/>
            <w:r w:rsidRPr="00436988">
              <w:rPr>
                <w:color w:val="auto"/>
              </w:rPr>
              <w:lastRenderedPageBreak/>
              <w:t>8.</w:t>
            </w:r>
          </w:p>
        </w:tc>
        <w:tc>
          <w:tcPr>
            <w:tcW w:w="6753" w:type="dxa"/>
          </w:tcPr>
          <w:p w14:paraId="06B28E1A" w14:textId="72B9AA67" w:rsidR="00F37C41" w:rsidRDefault="00F37C41" w:rsidP="00F37C41">
            <w:pPr>
              <w:autoSpaceDE w:val="0"/>
              <w:autoSpaceDN w:val="0"/>
              <w:jc w:val="both"/>
            </w:pPr>
            <w:r>
              <w:t xml:space="preserve">Mums ciemā ir tāda situācija, ka pie viena elektroenerģijas skaitītāja ir pieslēgts vairāku ielu apgaismojums. Vai šādā gadījumā apgaismojuma aprēķina </w:t>
            </w:r>
            <w:r w:rsidR="00865F2C">
              <w:t>Excel</w:t>
            </w:r>
            <w:r>
              <w:t xml:space="preserve"> tabulā jāuzrāda elektroenerģijas patēriņš gada laikā katrai ielai atsevišķi (ko var izdarīt veicot matemātiskus aprēķinus pēc gaismekļu skaita un to patēriņa) vai arī var uzrādīt visu ielu kopējo elektroenerģijas patēriņu gada laikā?</w:t>
            </w:r>
          </w:p>
          <w:p w14:paraId="4C52F0CB" w14:textId="0B022D6D" w:rsidR="005658ED" w:rsidRPr="00ED2C36" w:rsidRDefault="00F37C41" w:rsidP="00F37C41">
            <w:pPr>
              <w:autoSpaceDE w:val="0"/>
              <w:autoSpaceDN w:val="0"/>
              <w:jc w:val="both"/>
            </w:pPr>
            <w:r>
              <w:t>Un vai tad atskaitoties monitoringa periodā derēs šis viens elektroenerģijas skaitītājs vai arī būs jāuzstāda atsevišķi skaitītāji katrai ielai?</w:t>
            </w:r>
          </w:p>
        </w:tc>
        <w:tc>
          <w:tcPr>
            <w:tcW w:w="7227" w:type="dxa"/>
          </w:tcPr>
          <w:p w14:paraId="53921C72" w14:textId="2CBD1A2E" w:rsidR="005658ED" w:rsidRDefault="00F37C41">
            <w:pPr>
              <w:autoSpaceDE w:val="0"/>
              <w:autoSpaceDN w:val="0"/>
              <w:jc w:val="both"/>
            </w:pPr>
            <w:r>
              <w:t xml:space="preserve">Sagatavojot </w:t>
            </w:r>
            <w:r w:rsidR="004C2FF4" w:rsidRPr="004C2FF4">
              <w:t xml:space="preserve">papildu iesniedzamo dokumentu </w:t>
            </w:r>
            <w:r>
              <w:t>“A</w:t>
            </w:r>
            <w:r w:rsidRPr="00F37C41">
              <w:t>prēķinātais oglekļa dioksīda emisiju samazinājums, no atjaunojamajiem energoresursiem saražotās enerģijas daudzums un patērētās enerģijas apjoma samazinājums</w:t>
            </w:r>
            <w:r>
              <w:t xml:space="preserve">” aprēķinos </w:t>
            </w:r>
            <w:r w:rsidRPr="00F37C41">
              <w:rPr>
                <w:b/>
                <w:bCs/>
              </w:rPr>
              <w:t xml:space="preserve">ir jānorāda katra </w:t>
            </w:r>
            <w:r>
              <w:rPr>
                <w:b/>
                <w:bCs/>
              </w:rPr>
              <w:t xml:space="preserve">nomaināmā </w:t>
            </w:r>
            <w:r w:rsidRPr="00F37C41">
              <w:rPr>
                <w:b/>
                <w:bCs/>
              </w:rPr>
              <w:t>gaismekļa</w:t>
            </w:r>
            <w:r w:rsidR="003B65A2">
              <w:rPr>
                <w:b/>
                <w:bCs/>
              </w:rPr>
              <w:t xml:space="preserve">/posma </w:t>
            </w:r>
            <w:r w:rsidR="004C2FF4">
              <w:rPr>
                <w:b/>
                <w:bCs/>
              </w:rPr>
              <w:t>elektroenerģijas</w:t>
            </w:r>
            <w:r w:rsidRPr="00F37C41">
              <w:rPr>
                <w:b/>
                <w:bCs/>
              </w:rPr>
              <w:t xml:space="preserve"> patēriņš pirms </w:t>
            </w:r>
            <w:r w:rsidR="004C2FF4">
              <w:rPr>
                <w:b/>
                <w:bCs/>
              </w:rPr>
              <w:t xml:space="preserve">(esošā situācija) </w:t>
            </w:r>
            <w:r w:rsidRPr="00F37C41">
              <w:rPr>
                <w:b/>
                <w:bCs/>
              </w:rPr>
              <w:t>un pēc projekta</w:t>
            </w:r>
            <w:r w:rsidR="004C2FF4">
              <w:rPr>
                <w:b/>
                <w:bCs/>
              </w:rPr>
              <w:t xml:space="preserve"> īstenošanas</w:t>
            </w:r>
            <w:r>
              <w:t xml:space="preserve"> (var būt aprēķinu ceļā iegūti dati). Aicinām pārliecināties, ka kopējais </w:t>
            </w:r>
            <w:r w:rsidR="004C2FF4">
              <w:t>elektroenerģijas</w:t>
            </w:r>
            <w:r>
              <w:t xml:space="preserve"> patēriņš nepārsniedz d</w:t>
            </w:r>
            <w:r w:rsidRPr="00F37C41">
              <w:t>okumentu kopij</w:t>
            </w:r>
            <w:r>
              <w:t>ā</w:t>
            </w:r>
            <w:r w:rsidRPr="00F37C41">
              <w:t xml:space="preserve">s, kas apliecina </w:t>
            </w:r>
            <w:r w:rsidR="004C2FF4">
              <w:t xml:space="preserve">elektroenerģijas </w:t>
            </w:r>
            <w:r w:rsidRPr="00F37C41">
              <w:t>patēriņu vismaz par iepriekšējo kalendāra gadu pirms projekta iesnieguma iesniegšanas</w:t>
            </w:r>
            <w:r w:rsidR="004C2FF4">
              <w:t xml:space="preserve"> </w:t>
            </w:r>
            <w:r w:rsidR="004C2FF4" w:rsidRPr="004C2FF4">
              <w:t>Vides investīciju fondā</w:t>
            </w:r>
            <w:r>
              <w:t>, norādīto piegādāto elektroenerģijas daudzumu.</w:t>
            </w:r>
          </w:p>
          <w:p w14:paraId="47FAA8A2" w14:textId="64782FFA" w:rsidR="00F37C41" w:rsidRDefault="00F37C41">
            <w:pPr>
              <w:autoSpaceDE w:val="0"/>
              <w:autoSpaceDN w:val="0"/>
              <w:jc w:val="both"/>
            </w:pPr>
            <w:r>
              <w:t>Monitoringa periodā derēs viens elektroenerģijas skaitītājs</w:t>
            </w:r>
            <w:r w:rsidR="004C2FF4">
              <w:t>.</w:t>
            </w:r>
            <w:r>
              <w:t xml:space="preserve"> </w:t>
            </w:r>
            <w:r w:rsidR="004C2FF4">
              <w:t>V</w:t>
            </w:r>
            <w:r>
              <w:t xml:space="preserve">ienlaikus norādām, ka </w:t>
            </w:r>
            <w:r w:rsidRPr="00865F2C">
              <w:rPr>
                <w:b/>
                <w:bCs/>
              </w:rPr>
              <w:t xml:space="preserve">atbalstāmas </w:t>
            </w:r>
            <w:r w:rsidR="00865F2C" w:rsidRPr="00865F2C">
              <w:rPr>
                <w:b/>
                <w:bCs/>
              </w:rPr>
              <w:t xml:space="preserve">ir </w:t>
            </w:r>
            <w:r w:rsidRPr="00865F2C">
              <w:rPr>
                <w:b/>
                <w:bCs/>
              </w:rPr>
              <w:t xml:space="preserve">tikai viedo </w:t>
            </w:r>
            <w:r w:rsidR="00865F2C" w:rsidRPr="00865F2C">
              <w:rPr>
                <w:b/>
                <w:bCs/>
              </w:rPr>
              <w:t xml:space="preserve">pilsētvides </w:t>
            </w:r>
            <w:r w:rsidRPr="00865F2C">
              <w:rPr>
                <w:b/>
                <w:bCs/>
              </w:rPr>
              <w:t xml:space="preserve">tehnoloģiju </w:t>
            </w:r>
            <w:r w:rsidR="00865F2C" w:rsidRPr="00865F2C">
              <w:rPr>
                <w:b/>
                <w:bCs/>
              </w:rPr>
              <w:t>uzstādīšana, kas jau nodrošina automātisku elektroenerģijas patēriņa uzskaiti</w:t>
            </w:r>
            <w:r w:rsidR="00865F2C">
              <w:t xml:space="preserve">. </w:t>
            </w:r>
          </w:p>
          <w:p w14:paraId="228B1A00" w14:textId="77777777" w:rsidR="004C2FF4" w:rsidRDefault="00865F2C">
            <w:pPr>
              <w:autoSpaceDE w:val="0"/>
              <w:autoSpaceDN w:val="0"/>
              <w:jc w:val="both"/>
            </w:pPr>
            <w:r w:rsidRPr="00865F2C">
              <w:rPr>
                <w:b/>
                <w:bCs/>
              </w:rPr>
              <w:t>Iesniedzot projekta iesniegumu par ciemu vai citu apdzīvoto vietu ir nepieciešams pamatot tā atbilstību pilsētvides definīcijai</w:t>
            </w:r>
            <w:r>
              <w:t xml:space="preserve">. </w:t>
            </w:r>
          </w:p>
          <w:p w14:paraId="1115BCB3" w14:textId="46970C2F" w:rsidR="00865F2C" w:rsidRPr="00436988" w:rsidRDefault="00865F2C">
            <w:pPr>
              <w:autoSpaceDE w:val="0"/>
              <w:autoSpaceDN w:val="0"/>
              <w:jc w:val="both"/>
              <w:rPr>
                <w:b/>
                <w:bCs/>
              </w:rPr>
            </w:pPr>
            <w:r w:rsidRPr="00436988">
              <w:rPr>
                <w:b/>
                <w:bCs/>
              </w:rPr>
              <w:t xml:space="preserve">Ar </w:t>
            </w:r>
            <w:r w:rsidR="004C2FF4" w:rsidRPr="00436988">
              <w:rPr>
                <w:b/>
                <w:bCs/>
              </w:rPr>
              <w:t>terminu “</w:t>
            </w:r>
            <w:r w:rsidRPr="00436988">
              <w:rPr>
                <w:b/>
                <w:bCs/>
                <w:i/>
                <w:iCs/>
              </w:rPr>
              <w:t>pilsētvid</w:t>
            </w:r>
            <w:r w:rsidR="004C2FF4" w:rsidRPr="00436988">
              <w:rPr>
                <w:b/>
                <w:bCs/>
                <w:i/>
                <w:iCs/>
              </w:rPr>
              <w:t>e</w:t>
            </w:r>
            <w:r w:rsidR="004C2FF4" w:rsidRPr="00436988">
              <w:rPr>
                <w:b/>
                <w:bCs/>
              </w:rPr>
              <w:t>”</w:t>
            </w:r>
            <w:r w:rsidRPr="00436988">
              <w:rPr>
                <w:b/>
                <w:bCs/>
              </w:rPr>
              <w:t xml:space="preserve"> konkursa ietvaros saprot:</w:t>
            </w:r>
          </w:p>
          <w:p w14:paraId="00639211" w14:textId="5866FC6B" w:rsidR="00865F2C" w:rsidRPr="00865F2C" w:rsidRDefault="004C2FF4" w:rsidP="00865F2C">
            <w:pPr>
              <w:pStyle w:val="ListParagraph"/>
              <w:numPr>
                <w:ilvl w:val="0"/>
                <w:numId w:val="15"/>
              </w:numPr>
              <w:autoSpaceDE w:val="0"/>
              <w:autoSpaceDN w:val="0"/>
              <w:jc w:val="both"/>
            </w:pPr>
            <w:r w:rsidRPr="00436988">
              <w:rPr>
                <w:b/>
                <w:bCs/>
              </w:rPr>
              <w:t>visas pilsētas</w:t>
            </w:r>
            <w:r w:rsidRPr="004C2FF4">
              <w:t xml:space="preserve"> (atbilstoši Administratīvo teritoriju un apdzīvoto vietu likuma nosacījumiem) tās teritorijas robežās</w:t>
            </w:r>
            <w:r w:rsidR="00865F2C">
              <w:t>;</w:t>
            </w:r>
          </w:p>
          <w:p w14:paraId="023C92F7" w14:textId="17EC7FB1" w:rsidR="004C2FF4" w:rsidRDefault="004C2FF4" w:rsidP="00865F2C">
            <w:pPr>
              <w:pStyle w:val="ListParagraph"/>
              <w:numPr>
                <w:ilvl w:val="0"/>
                <w:numId w:val="15"/>
              </w:numPr>
              <w:autoSpaceDE w:val="0"/>
              <w:autoSpaceDN w:val="0"/>
              <w:jc w:val="both"/>
            </w:pPr>
            <w:r w:rsidRPr="00436988">
              <w:rPr>
                <w:b/>
                <w:bCs/>
              </w:rPr>
              <w:t xml:space="preserve">ar pilsētām </w:t>
            </w:r>
            <w:r w:rsidRPr="004C2FF4">
              <w:t>(</w:t>
            </w:r>
            <w:proofErr w:type="spellStart"/>
            <w:r w:rsidRPr="004C2FF4">
              <w:t>valstspilsētas</w:t>
            </w:r>
            <w:proofErr w:type="spellEnd"/>
            <w:r w:rsidRPr="004C2FF4">
              <w:t xml:space="preserve"> un novadu pilsētas) </w:t>
            </w:r>
            <w:r w:rsidRPr="00436988">
              <w:rPr>
                <w:b/>
                <w:bCs/>
              </w:rPr>
              <w:t>saistītā infrastruktūra ārpus pilsētas teritorijas</w:t>
            </w:r>
            <w:r w:rsidRPr="004C2FF4">
              <w:t xml:space="preserve"> – piemēram, autoceļa apgaismojums, centralizētās ūdensapgādes sistēma un centralizētās kanalizācijas sistēma</w:t>
            </w:r>
            <w:r>
              <w:t>;</w:t>
            </w:r>
          </w:p>
          <w:p w14:paraId="24EC8612" w14:textId="4E04ECB0" w:rsidR="00865F2C" w:rsidRPr="004C2FF4" w:rsidRDefault="004C2FF4" w:rsidP="004C2FF4">
            <w:pPr>
              <w:pStyle w:val="ListParagraph"/>
              <w:numPr>
                <w:ilvl w:val="0"/>
                <w:numId w:val="15"/>
              </w:numPr>
              <w:autoSpaceDE w:val="0"/>
              <w:autoSpaceDN w:val="0"/>
              <w:jc w:val="both"/>
            </w:pPr>
            <w:r w:rsidRPr="00436988">
              <w:rPr>
                <w:b/>
                <w:bCs/>
              </w:rPr>
              <w:t>apdzīvotas vietas</w:t>
            </w:r>
            <w:r w:rsidRPr="004C2FF4">
              <w:t xml:space="preserve"> (</w:t>
            </w:r>
            <w:proofErr w:type="spellStart"/>
            <w:r w:rsidR="008C1D04">
              <w:t>mazciemi</w:t>
            </w:r>
            <w:proofErr w:type="spellEnd"/>
            <w:r w:rsidR="008C1D04">
              <w:t xml:space="preserve"> un </w:t>
            </w:r>
            <w:r w:rsidRPr="004C2FF4">
              <w:t xml:space="preserve">ciemi atbilstoši Administratīvo teritoriju un apdzīvoto vietu likuma nosacījumiem) </w:t>
            </w:r>
            <w:r w:rsidRPr="00436988">
              <w:rPr>
                <w:b/>
                <w:bCs/>
              </w:rPr>
              <w:t>ar</w:t>
            </w:r>
            <w:r w:rsidRPr="004C2FF4">
              <w:t xml:space="preserve"> </w:t>
            </w:r>
            <w:r w:rsidRPr="00436988">
              <w:rPr>
                <w:b/>
                <w:bCs/>
              </w:rPr>
              <w:t>koncentrētu apbūvi</w:t>
            </w:r>
            <w:r w:rsidRPr="004C2FF4">
              <w:t xml:space="preserve">, </w:t>
            </w:r>
            <w:r w:rsidRPr="00436988">
              <w:rPr>
                <w:b/>
                <w:bCs/>
              </w:rPr>
              <w:t>pastāvīgu apdzīvotību</w:t>
            </w:r>
            <w:r w:rsidRPr="004C2FF4">
              <w:t xml:space="preserve"> un </w:t>
            </w:r>
            <w:r w:rsidRPr="00436988">
              <w:rPr>
                <w:b/>
                <w:bCs/>
              </w:rPr>
              <w:t>izveidotu publisko infrastruktūru</w:t>
            </w:r>
            <w:r w:rsidR="00865F2C" w:rsidRPr="004C2FF4">
              <w:t>.</w:t>
            </w:r>
          </w:p>
        </w:tc>
      </w:tr>
      <w:tr w:rsidR="00865F2C" w:rsidRPr="00ED2C36" w14:paraId="6B8BDC5F" w14:textId="77777777" w:rsidTr="001D1942">
        <w:trPr>
          <w:cantSplit/>
        </w:trPr>
        <w:tc>
          <w:tcPr>
            <w:tcW w:w="646" w:type="dxa"/>
          </w:tcPr>
          <w:p w14:paraId="64E2A679" w14:textId="534DDBF4" w:rsidR="00865F2C" w:rsidRPr="003B65A2" w:rsidRDefault="00865F2C" w:rsidP="00F9772C">
            <w:pPr>
              <w:jc w:val="center"/>
              <w:rPr>
                <w:color w:val="FF0000"/>
              </w:rPr>
            </w:pPr>
            <w:bookmarkStart w:id="9" w:name="_Hlk175742766"/>
            <w:bookmarkEnd w:id="7"/>
            <w:r w:rsidRPr="00436988">
              <w:rPr>
                <w:color w:val="auto"/>
              </w:rPr>
              <w:lastRenderedPageBreak/>
              <w:t>9.</w:t>
            </w:r>
          </w:p>
        </w:tc>
        <w:tc>
          <w:tcPr>
            <w:tcW w:w="6753" w:type="dxa"/>
          </w:tcPr>
          <w:p w14:paraId="2212D2EE" w14:textId="77777777" w:rsidR="005848FE" w:rsidRDefault="005848FE" w:rsidP="00F37C41">
            <w:pPr>
              <w:autoSpaceDE w:val="0"/>
              <w:autoSpaceDN w:val="0"/>
              <w:jc w:val="both"/>
            </w:pPr>
            <w:r>
              <w:t>P</w:t>
            </w:r>
            <w:r w:rsidRPr="005848FE">
              <w:t>rojekta tehniskajā raksturojumā tiek prasīts</w:t>
            </w:r>
            <w:r>
              <w:t>:</w:t>
            </w:r>
            <w:r w:rsidRPr="005848FE">
              <w:t xml:space="preserve"> </w:t>
            </w:r>
            <w:r w:rsidRPr="005848FE">
              <w:rPr>
                <w:i/>
                <w:iCs/>
              </w:rPr>
              <w:t>informācija par projekta īstenošanas vietas (ielas vai teritorijas) apgaismojuma klasi. Ja tāda nav noteikta, norāda visus parametrus, pēc kuriem izvēlēta apgaismojuma kategorija (satiksmes intensitāte, ceļa vai ielas raksturojums – sazarojumi, krustojumi, to apgrūtinājumi un šķēršļi, ietves, veloceliņi un citi parametri). Projekta iesniedzējam jānodrošina nomainītajiem gaismekļiem minimālās apgaismojuma prasības atbilstoši vietas apgaismojuma klasei un atbilstība Latvijas Republikas būvnormatīvu un standartu prasībām par ielu un ceļu apgaismojumu</w:t>
            </w:r>
            <w:r>
              <w:t xml:space="preserve">. </w:t>
            </w:r>
          </w:p>
          <w:p w14:paraId="66194992" w14:textId="30DF8EB8" w:rsidR="00865F2C" w:rsidRDefault="00865F2C" w:rsidP="00F37C41">
            <w:pPr>
              <w:autoSpaceDE w:val="0"/>
              <w:autoSpaceDN w:val="0"/>
              <w:jc w:val="both"/>
            </w:pPr>
            <w:r w:rsidRPr="00865F2C">
              <w:t>Mūsu pašvaldībā apgaismojuma klase pašvaldības ielām un ceļiem nav noteikta un nav izvēlēta arī apgaismojuma kategorija. Minimālās apgaismojuma prasības atbilstoši vietas apgaismojuma klasei un atbilstība Latvijas Republikas būvnormatīvu un standartu prasībām par ielu un ceļu apgaismojumu Latvijā ir noteiktas valsts ceļiem un ielām, nevis pašvaldību ceļiem un ielām</w:t>
            </w:r>
            <w:r w:rsidR="005848FE">
              <w:t xml:space="preserve">. </w:t>
            </w:r>
            <w:r w:rsidR="005848FE" w:rsidRPr="005848FE">
              <w:t>Kā mums izpildīt prasību pašvaldības ielu un ceļu apgaismojumam?</w:t>
            </w:r>
          </w:p>
        </w:tc>
        <w:tc>
          <w:tcPr>
            <w:tcW w:w="7227" w:type="dxa"/>
          </w:tcPr>
          <w:p w14:paraId="7328492B" w14:textId="3A943CBA" w:rsidR="00865F2C" w:rsidRDefault="003B5882">
            <w:pPr>
              <w:autoSpaceDE w:val="0"/>
              <w:autoSpaceDN w:val="0"/>
              <w:jc w:val="both"/>
            </w:pPr>
            <w:r>
              <w:t xml:space="preserve">Tādā gadījumā projekta iesniedzējs brīvi nosaka apgaismojuma klasi. </w:t>
            </w:r>
            <w:r w:rsidR="001018AB" w:rsidRPr="001018AB">
              <w:t>Projekta iesniedzējs var iesniegt apliecinājumu ar projekta īstenošanas viet</w:t>
            </w:r>
            <w:r w:rsidR="001018AB">
              <w:t>ām</w:t>
            </w:r>
            <w:r w:rsidR="001018AB" w:rsidRPr="001018AB">
              <w:t xml:space="preserve"> noteiktām apgaismojuma klasēm </w:t>
            </w:r>
            <w:r w:rsidR="001018AB">
              <w:t>un</w:t>
            </w:r>
            <w:r w:rsidR="001018AB" w:rsidRPr="001018AB">
              <w:t xml:space="preserve"> </w:t>
            </w:r>
            <w:r w:rsidR="001018AB">
              <w:t>p</w:t>
            </w:r>
            <w:r w:rsidR="005848FE">
              <w:t xml:space="preserve">rojekta tehniskajā raksturojumā </w:t>
            </w:r>
            <w:r w:rsidR="005848FE" w:rsidRPr="005848FE">
              <w:rPr>
                <w:b/>
                <w:bCs/>
              </w:rPr>
              <w:t>norād</w:t>
            </w:r>
            <w:r w:rsidR="001018AB">
              <w:rPr>
                <w:b/>
                <w:bCs/>
              </w:rPr>
              <w:t>īt</w:t>
            </w:r>
            <w:r w:rsidR="005848FE" w:rsidRPr="005848FE">
              <w:rPr>
                <w:b/>
                <w:bCs/>
              </w:rPr>
              <w:t xml:space="preserve"> vis</w:t>
            </w:r>
            <w:r w:rsidR="001018AB">
              <w:rPr>
                <w:b/>
                <w:bCs/>
              </w:rPr>
              <w:t>us</w:t>
            </w:r>
            <w:r w:rsidR="005848FE" w:rsidRPr="005848FE">
              <w:rPr>
                <w:b/>
                <w:bCs/>
              </w:rPr>
              <w:t xml:space="preserve"> parametr</w:t>
            </w:r>
            <w:r w:rsidR="001018AB">
              <w:rPr>
                <w:b/>
                <w:bCs/>
              </w:rPr>
              <w:t>us</w:t>
            </w:r>
            <w:r w:rsidR="005848FE" w:rsidRPr="005848FE">
              <w:rPr>
                <w:b/>
                <w:bCs/>
              </w:rPr>
              <w:t xml:space="preserve">, pēc kuriem izvēlēta apgaismojuma </w:t>
            </w:r>
            <w:r>
              <w:rPr>
                <w:b/>
                <w:bCs/>
              </w:rPr>
              <w:t>klase</w:t>
            </w:r>
            <w:r w:rsidR="005848FE">
              <w:t xml:space="preserve">. Apgaismojuma klases noteikšanai </w:t>
            </w:r>
            <w:r w:rsidR="001018AB">
              <w:t>jāi</w:t>
            </w:r>
            <w:r w:rsidR="005848FE">
              <w:t xml:space="preserve">zmanto standartu </w:t>
            </w:r>
            <w:r w:rsidR="001018AB" w:rsidRPr="001018AB">
              <w:t xml:space="preserve">LVS CEN/TR 13201-1:2015 </w:t>
            </w:r>
            <w:r w:rsidR="001018AB">
              <w:t>“</w:t>
            </w:r>
            <w:r w:rsidR="001018AB" w:rsidRPr="001018AB">
              <w:t>Ceļu apgaisme</w:t>
            </w:r>
            <w:r w:rsidR="001018AB">
              <w:t>”</w:t>
            </w:r>
            <w:r w:rsidR="005848FE">
              <w:t>.</w:t>
            </w:r>
          </w:p>
        </w:tc>
      </w:tr>
      <w:bookmarkEnd w:id="8"/>
      <w:tr w:rsidR="003B65A2" w:rsidRPr="00ED2C36" w14:paraId="267CB3A7" w14:textId="77777777" w:rsidTr="001D1942">
        <w:trPr>
          <w:cantSplit/>
        </w:trPr>
        <w:tc>
          <w:tcPr>
            <w:tcW w:w="646" w:type="dxa"/>
          </w:tcPr>
          <w:p w14:paraId="35B4CE82" w14:textId="13B6B1C1" w:rsidR="003B65A2" w:rsidRPr="00F47158" w:rsidRDefault="003B65A2" w:rsidP="00F9772C">
            <w:pPr>
              <w:jc w:val="center"/>
              <w:rPr>
                <w:color w:val="auto"/>
              </w:rPr>
            </w:pPr>
            <w:r w:rsidRPr="00F47158">
              <w:rPr>
                <w:color w:val="auto"/>
              </w:rPr>
              <w:t>10.</w:t>
            </w:r>
          </w:p>
        </w:tc>
        <w:tc>
          <w:tcPr>
            <w:tcW w:w="6753" w:type="dxa"/>
          </w:tcPr>
          <w:p w14:paraId="74631DCD" w14:textId="51D16A8C" w:rsidR="003B65A2" w:rsidRDefault="003B65A2" w:rsidP="00F37C41">
            <w:pPr>
              <w:autoSpaceDE w:val="0"/>
              <w:autoSpaceDN w:val="0"/>
              <w:jc w:val="both"/>
            </w:pPr>
            <w:r w:rsidRPr="003B65A2">
              <w:t>Vai projektā ir atļauts paredzēt papildus jaunu gaismekļu uzstādīšanu esošajā apgaismojuma līnijā tādējādi to pagarinot?</w:t>
            </w:r>
          </w:p>
        </w:tc>
        <w:tc>
          <w:tcPr>
            <w:tcW w:w="7227" w:type="dxa"/>
          </w:tcPr>
          <w:p w14:paraId="197B33BE" w14:textId="1AACBB26" w:rsidR="003B65A2" w:rsidRDefault="003B65A2">
            <w:pPr>
              <w:autoSpaceDE w:val="0"/>
              <w:autoSpaceDN w:val="0"/>
              <w:jc w:val="both"/>
            </w:pPr>
            <w:r w:rsidRPr="003B65A2">
              <w:t>Konkursa mērķis ir ieviest viedās pilsētvides tehnoloģijas, kas samazina siltumnīcefekta gāzu emisijas</w:t>
            </w:r>
            <w:r>
              <w:t xml:space="preserve">. </w:t>
            </w:r>
            <w:r w:rsidRPr="003B65A2">
              <w:rPr>
                <w:b/>
                <w:bCs/>
              </w:rPr>
              <w:t>Gaismekļu uzstādīšana vietās, kur iepriekš nebija apgaismojums, nav attiecināmās izmaksas</w:t>
            </w:r>
            <w:r>
              <w:t xml:space="preserve">. Ir pieļaujams esošajā apgaismojuma līnijā optimizēt gaismekļu izvietojumu uzstādot papildus gaismekļus, ja vienlaikus tiek nodrošināta prasība, ka tiek </w:t>
            </w:r>
            <w:r w:rsidRPr="003B65A2">
              <w:t>samazin</w:t>
            </w:r>
            <w:r>
              <w:t>ātas</w:t>
            </w:r>
            <w:r w:rsidRPr="003B65A2">
              <w:t xml:space="preserve"> siltumnīcefekta gāzu emisijas</w:t>
            </w:r>
            <w:r>
              <w:t xml:space="preserve"> attiecīgajā apgaismojuma līnijā.</w:t>
            </w:r>
          </w:p>
        </w:tc>
      </w:tr>
      <w:tr w:rsidR="00B04710" w:rsidRPr="00ED2C36" w14:paraId="3670FB53" w14:textId="77777777" w:rsidTr="001D1942">
        <w:trPr>
          <w:cantSplit/>
        </w:trPr>
        <w:tc>
          <w:tcPr>
            <w:tcW w:w="646" w:type="dxa"/>
          </w:tcPr>
          <w:p w14:paraId="23949AA6" w14:textId="6ADA4B4A" w:rsidR="00B04710" w:rsidRPr="00F47158" w:rsidRDefault="00B04710" w:rsidP="00F9772C">
            <w:pPr>
              <w:jc w:val="center"/>
              <w:rPr>
                <w:color w:val="auto"/>
              </w:rPr>
            </w:pPr>
            <w:bookmarkStart w:id="10" w:name="_Hlk176159365"/>
            <w:r w:rsidRPr="00F47158">
              <w:rPr>
                <w:color w:val="auto"/>
              </w:rPr>
              <w:t>11.</w:t>
            </w:r>
          </w:p>
        </w:tc>
        <w:tc>
          <w:tcPr>
            <w:tcW w:w="6753" w:type="dxa"/>
          </w:tcPr>
          <w:p w14:paraId="16FDA0E8" w14:textId="1AF35766" w:rsidR="00B04710" w:rsidRPr="003B65A2" w:rsidRDefault="00B04710" w:rsidP="00F37C41">
            <w:pPr>
              <w:autoSpaceDE w:val="0"/>
              <w:autoSpaceDN w:val="0"/>
              <w:jc w:val="both"/>
            </w:pPr>
            <w:r w:rsidRPr="00B04710">
              <w:t>Vai ir pieļaujama un atbalstāma projekta ieceres virzīšana, kurā saules elektrostaciju kopējā jauda plānota būtiski pārsniedzot konkursa nolikumā norādītos 75kW, pie nosacījuma, ka projekta investīcijas tiek sadalītas t.i. līdz 75kW tiek pretendēts uz EKII līdzfinansējumu, bet visai pārējai jaudai kura pārsniedz 75kW investīcijas tiks pilnā mērā segtas no projekta iesniedzēja pašu līdzekļiem?</w:t>
            </w:r>
          </w:p>
        </w:tc>
        <w:tc>
          <w:tcPr>
            <w:tcW w:w="7227" w:type="dxa"/>
          </w:tcPr>
          <w:p w14:paraId="1B12AC84" w14:textId="11EC2AFC" w:rsidR="00841582" w:rsidRPr="003B65A2" w:rsidRDefault="00841582">
            <w:pPr>
              <w:autoSpaceDE w:val="0"/>
              <w:autoSpaceDN w:val="0"/>
              <w:jc w:val="both"/>
            </w:pPr>
            <w:r w:rsidRPr="00841582">
              <w:rPr>
                <w:b/>
                <w:bCs/>
              </w:rPr>
              <w:t>Saules elektrostacijas jauda nevar pārsniegt MK noteikumos Nr. 333 24.</w:t>
            </w:r>
            <w:r w:rsidR="0067173B">
              <w:rPr>
                <w:b/>
                <w:bCs/>
              </w:rPr>
              <w:t> </w:t>
            </w:r>
            <w:r w:rsidRPr="00841582">
              <w:rPr>
                <w:b/>
                <w:bCs/>
              </w:rPr>
              <w:t>punktā noteiktos ierobežojumus</w:t>
            </w:r>
            <w:r w:rsidR="00F47158">
              <w:rPr>
                <w:b/>
                <w:bCs/>
              </w:rPr>
              <w:t xml:space="preserve"> katrā projektā</w:t>
            </w:r>
            <w:r>
              <w:t>. Projekt</w:t>
            </w:r>
            <w:r w:rsidR="00F47158">
              <w:t>s</w:t>
            </w:r>
            <w:r>
              <w:t>, kas neatbildīs šiem nosacījumiem tiks noraidīt</w:t>
            </w:r>
            <w:r w:rsidR="00F47158">
              <w:t>s</w:t>
            </w:r>
            <w:r>
              <w:t>. Iesakām projekta iesniegumā iekļaut tikai tiešās projekta izmaksas un neiekļaut aktivitātes, kas nav tieši saistītas ar plānoto projektu un tiktu finansētas no citiem līdzekļiem.</w:t>
            </w:r>
          </w:p>
        </w:tc>
      </w:tr>
      <w:tr w:rsidR="00B04710" w:rsidRPr="00ED2C36" w14:paraId="74E0307B" w14:textId="77777777" w:rsidTr="001D1942">
        <w:trPr>
          <w:cantSplit/>
        </w:trPr>
        <w:tc>
          <w:tcPr>
            <w:tcW w:w="646" w:type="dxa"/>
          </w:tcPr>
          <w:p w14:paraId="5CBB25F5" w14:textId="78EC57C8" w:rsidR="00B04710" w:rsidRPr="00F47158" w:rsidRDefault="00B04710" w:rsidP="00F9772C">
            <w:pPr>
              <w:jc w:val="center"/>
              <w:rPr>
                <w:color w:val="auto"/>
              </w:rPr>
            </w:pPr>
            <w:r w:rsidRPr="00F47158">
              <w:rPr>
                <w:color w:val="auto"/>
              </w:rPr>
              <w:t>12.</w:t>
            </w:r>
          </w:p>
        </w:tc>
        <w:tc>
          <w:tcPr>
            <w:tcW w:w="6753" w:type="dxa"/>
          </w:tcPr>
          <w:p w14:paraId="12AC0285" w14:textId="354CE628" w:rsidR="00B04710" w:rsidRPr="00B04710" w:rsidRDefault="00B04710" w:rsidP="00F37C41">
            <w:pPr>
              <w:autoSpaceDE w:val="0"/>
              <w:autoSpaceDN w:val="0"/>
              <w:jc w:val="both"/>
            </w:pPr>
            <w:r w:rsidRPr="00B04710">
              <w:t>Vai ir pieļaujama un atbalstāma vienas teritorijas ietvaros paredzētas projekta ieceres dalīšana divās kārtās un divu atsevišķu projekta iesniegumu iesniegšana? Tādējādi, labvēlīga vērtējuma un EKII līdzfinansējuma iegūšanas gadījumā, abas kārtas tiek īstenotas vienā konkrētā teritorijā</w:t>
            </w:r>
            <w:r>
              <w:t>?</w:t>
            </w:r>
          </w:p>
        </w:tc>
        <w:tc>
          <w:tcPr>
            <w:tcW w:w="7227" w:type="dxa"/>
          </w:tcPr>
          <w:p w14:paraId="6BE96BF9" w14:textId="6BC29326" w:rsidR="00B04710" w:rsidRPr="003B65A2" w:rsidRDefault="0067173B">
            <w:pPr>
              <w:autoSpaceDE w:val="0"/>
              <w:autoSpaceDN w:val="0"/>
              <w:jc w:val="both"/>
            </w:pPr>
            <w:r w:rsidRPr="00841582">
              <w:rPr>
                <w:b/>
                <w:bCs/>
              </w:rPr>
              <w:t>MK noteikum</w:t>
            </w:r>
            <w:r>
              <w:rPr>
                <w:b/>
                <w:bCs/>
              </w:rPr>
              <w:t>u</w:t>
            </w:r>
            <w:r w:rsidRPr="00841582">
              <w:rPr>
                <w:b/>
                <w:bCs/>
              </w:rPr>
              <w:t xml:space="preserve"> Nr. 333 </w:t>
            </w:r>
            <w:r>
              <w:rPr>
                <w:b/>
                <w:bCs/>
              </w:rPr>
              <w:t>13</w:t>
            </w:r>
            <w:r w:rsidRPr="00841582">
              <w:rPr>
                <w:b/>
                <w:bCs/>
              </w:rPr>
              <w:t>.</w:t>
            </w:r>
            <w:r>
              <w:rPr>
                <w:b/>
                <w:bCs/>
              </w:rPr>
              <w:t> </w:t>
            </w:r>
            <w:r w:rsidRPr="00841582">
              <w:rPr>
                <w:b/>
                <w:bCs/>
              </w:rPr>
              <w:t>punkt</w:t>
            </w:r>
            <w:r>
              <w:rPr>
                <w:b/>
                <w:bCs/>
              </w:rPr>
              <w:t>s nosaka, ka</w:t>
            </w:r>
            <w:r w:rsidRPr="00841582">
              <w:rPr>
                <w:b/>
                <w:bCs/>
              </w:rPr>
              <w:t xml:space="preserve"> </w:t>
            </w:r>
            <w:r w:rsidRPr="0067173B">
              <w:rPr>
                <w:b/>
                <w:bCs/>
              </w:rPr>
              <w:t>ir tiesības iesniegt ne vairāk kā divus projektu iesniegumus</w:t>
            </w:r>
            <w:r>
              <w:t>. Ir pieļaujams, ka abi projekti tiktu realizēti vienā konkrētā teritorijā. Norādām, ka katrs projekta iesniegums tiks vērtēts atsevišķi un monitoringa periodā būs jānodrošina precīza tā rezultātu atsevišķa uzskaite. Projekts ir jāplāno tā, lai gadījumā, ja otrs projekts netiek apstiprināts, tas būtu realizējams un tiktu sasniegti projekta mērķi.</w:t>
            </w:r>
          </w:p>
        </w:tc>
      </w:tr>
      <w:tr w:rsidR="00F37C41" w:rsidRPr="00ED2C36" w14:paraId="7B57232E" w14:textId="77777777" w:rsidTr="001D1942">
        <w:trPr>
          <w:cantSplit/>
        </w:trPr>
        <w:tc>
          <w:tcPr>
            <w:tcW w:w="646" w:type="dxa"/>
          </w:tcPr>
          <w:p w14:paraId="29D3D6A2" w14:textId="3642C2BC" w:rsidR="00F37C41" w:rsidRPr="00ED2C36" w:rsidRDefault="00F47158" w:rsidP="00F9772C">
            <w:pPr>
              <w:jc w:val="center"/>
            </w:pPr>
            <w:bookmarkStart w:id="11" w:name="_Hlk176159665"/>
            <w:bookmarkEnd w:id="9"/>
            <w:bookmarkEnd w:id="10"/>
            <w:r>
              <w:lastRenderedPageBreak/>
              <w:t>13.</w:t>
            </w:r>
          </w:p>
        </w:tc>
        <w:tc>
          <w:tcPr>
            <w:tcW w:w="6753" w:type="dxa"/>
          </w:tcPr>
          <w:p w14:paraId="3EDDD0C1" w14:textId="4D723DF9" w:rsidR="00F37C41" w:rsidRPr="00ED2C36" w:rsidRDefault="00F47158" w:rsidP="00176CD7">
            <w:pPr>
              <w:autoSpaceDE w:val="0"/>
              <w:autoSpaceDN w:val="0"/>
              <w:jc w:val="both"/>
            </w:pPr>
            <w:r>
              <w:t>V</w:t>
            </w:r>
            <w:r w:rsidRPr="00F47158">
              <w:t xml:space="preserve">ai pilsētvides tehnoloģijas uzstādīšana uz ēkas jumta būs atbilstīga konkursa nosacījumiem,  t.i.,  vai uz plānoto darbību (iekārtu izvietošanu uz ēkas jumtiem) nav attiecināms </w:t>
            </w:r>
            <w:r w:rsidRPr="00183B55">
              <w:rPr>
                <w:szCs w:val="22"/>
              </w:rPr>
              <w:t>MK noteikum</w:t>
            </w:r>
            <w:r>
              <w:rPr>
                <w:szCs w:val="22"/>
              </w:rPr>
              <w:t>u</w:t>
            </w:r>
            <w:r w:rsidRPr="00183B55">
              <w:rPr>
                <w:szCs w:val="22"/>
              </w:rPr>
              <w:t xml:space="preserve"> Nr. 333</w:t>
            </w:r>
            <w:r>
              <w:rPr>
                <w:szCs w:val="22"/>
              </w:rPr>
              <w:t xml:space="preserve"> </w:t>
            </w:r>
            <w:r w:rsidRPr="00F47158">
              <w:t>25.1. punktā noteiktais</w:t>
            </w:r>
            <w:r>
              <w:t>?</w:t>
            </w:r>
          </w:p>
        </w:tc>
        <w:tc>
          <w:tcPr>
            <w:tcW w:w="7227" w:type="dxa"/>
          </w:tcPr>
          <w:p w14:paraId="5E9E5607" w14:textId="4BB17344" w:rsidR="00F37C41" w:rsidRPr="00ED2C36" w:rsidRDefault="00F47158">
            <w:pPr>
              <w:autoSpaceDE w:val="0"/>
              <w:autoSpaceDN w:val="0"/>
              <w:jc w:val="both"/>
            </w:pPr>
            <w:r w:rsidRPr="00F47158">
              <w:rPr>
                <w:b/>
                <w:bCs/>
              </w:rPr>
              <w:t>Pilsētvides tehnoloģiju uzstādīšana uz ēkas jumta atbildīs konkursa nosacījumiem</w:t>
            </w:r>
            <w:r>
              <w:t>. Norādām, ka izmaksas, kas saistītas ar ēkas jumta pielāgošanu pilsētvides tehnoloģiju uzstādīšanai, nav attiecināmas izmaksas.</w:t>
            </w:r>
          </w:p>
        </w:tc>
      </w:tr>
      <w:tr w:rsidR="00C975BD" w:rsidRPr="00ED2C36" w14:paraId="62AD999E" w14:textId="77777777" w:rsidTr="001D1942">
        <w:trPr>
          <w:cantSplit/>
        </w:trPr>
        <w:tc>
          <w:tcPr>
            <w:tcW w:w="646" w:type="dxa"/>
          </w:tcPr>
          <w:p w14:paraId="47DADF1F" w14:textId="2E9CFE2A" w:rsidR="00C975BD" w:rsidRDefault="00C975BD" w:rsidP="00F9772C">
            <w:pPr>
              <w:jc w:val="center"/>
            </w:pPr>
            <w:bookmarkStart w:id="12" w:name="_Hlk176164794"/>
            <w:r>
              <w:t>14.</w:t>
            </w:r>
          </w:p>
        </w:tc>
        <w:tc>
          <w:tcPr>
            <w:tcW w:w="6753" w:type="dxa"/>
          </w:tcPr>
          <w:p w14:paraId="04628707" w14:textId="357CE894" w:rsidR="00C975BD" w:rsidRDefault="00C975BD" w:rsidP="00C975BD">
            <w:pPr>
              <w:autoSpaceDE w:val="0"/>
              <w:autoSpaceDN w:val="0"/>
              <w:jc w:val="both"/>
            </w:pPr>
            <w:r>
              <w:t>Projekta ietvaros paredzēts ieviest viedā apgaismojuma tehnoloģiju - LED ielu gaismekļus ar kontrolieriem (kustību sensoriem) un vadības sistēmu, kur gaismekļa korpuss ir ražots no atkārtoti pārstrādāta materiāla, tādejādi papildus veicinot aprites ekonomiku un sniedzot papildus ieguvumu SEG emisiju samazinājumā.</w:t>
            </w:r>
          </w:p>
          <w:p w14:paraId="52E2BCEE" w14:textId="77777777" w:rsidR="00C975BD" w:rsidRDefault="00C975BD" w:rsidP="00C975BD">
            <w:pPr>
              <w:autoSpaceDE w:val="0"/>
              <w:autoSpaceDN w:val="0"/>
              <w:jc w:val="both"/>
            </w:pPr>
          </w:p>
          <w:p w14:paraId="5F76E8CD" w14:textId="13F344BE" w:rsidR="00C975BD" w:rsidRDefault="00C975BD" w:rsidP="00C975BD">
            <w:pPr>
              <w:autoSpaceDE w:val="0"/>
              <w:autoSpaceDN w:val="0"/>
              <w:jc w:val="both"/>
            </w:pPr>
            <w:r>
              <w:t>Vai raksturotā viedā apgaismojuma tehnoloģija tiks uzskatīta par inovāciju (kvalitātes kritērijs Nr.6), ņemot vērā, ka saskaņā ar publiski pieejamo informāciju šāds risinājums (gaismekļa korpuss ražots no atkārtoti pārstrādāta materiāla) līdz šim Latvijā nav uzstādīts?</w:t>
            </w:r>
          </w:p>
          <w:p w14:paraId="32AE8B78" w14:textId="6FCDE15A" w:rsidR="00C975BD" w:rsidRDefault="00C975BD" w:rsidP="00C975BD">
            <w:pPr>
              <w:autoSpaceDE w:val="0"/>
              <w:autoSpaceDN w:val="0"/>
              <w:jc w:val="both"/>
            </w:pPr>
            <w:r>
              <w:t>Vai ir iespējams papildus veikt CO</w:t>
            </w:r>
            <w:r w:rsidRPr="00C975BD">
              <w:rPr>
                <w:vertAlign w:val="subscript"/>
              </w:rPr>
              <w:t>2</w:t>
            </w:r>
            <w:r>
              <w:t xml:space="preserve"> aprēķinu, kas atspoguļo SEG emisiju ietaupījumu no atkārtoti pārstrādātā materiāla izmantošanas?</w:t>
            </w:r>
          </w:p>
        </w:tc>
        <w:tc>
          <w:tcPr>
            <w:tcW w:w="7227" w:type="dxa"/>
          </w:tcPr>
          <w:p w14:paraId="3AE88D19" w14:textId="77777777" w:rsidR="00C975BD" w:rsidRDefault="00C975BD">
            <w:pPr>
              <w:autoSpaceDE w:val="0"/>
              <w:autoSpaceDN w:val="0"/>
              <w:jc w:val="both"/>
            </w:pPr>
            <w:r>
              <w:rPr>
                <w:b/>
                <w:bCs/>
              </w:rPr>
              <w:t xml:space="preserve">Projektā kvalitātes kritērijos punktus piešķir konkursa vērtēšanas komisija, balstoties uz tās rīcībā esošo informāciju. </w:t>
            </w:r>
            <w:r w:rsidRPr="00C975BD">
              <w:t>MK noteikumu Nr. 333 23. punkts nosaka jauna viedās pilsētvides tehnoloģijas definīcij</w:t>
            </w:r>
            <w:r>
              <w:t>as skaidrojumu</w:t>
            </w:r>
            <w:r w:rsidRPr="00C975BD">
              <w:t xml:space="preserve"> un viens no tiem ir, ka ražotājs ir kompleksi </w:t>
            </w:r>
            <w:r w:rsidRPr="00C975BD">
              <w:rPr>
                <w:b/>
                <w:bCs/>
              </w:rPr>
              <w:t>uzlabojis viedās pilsētvides tehnoloģijas funkcionālās īpašības</w:t>
            </w:r>
            <w:r w:rsidRPr="00C975BD">
              <w:t xml:space="preserve">: </w:t>
            </w:r>
            <w:r>
              <w:t xml:space="preserve">tā </w:t>
            </w:r>
            <w:r w:rsidRPr="00C975BD">
              <w:t>sastāvdaļas un izmantotie materiāli.</w:t>
            </w:r>
            <w:r>
              <w:t xml:space="preserve"> </w:t>
            </w:r>
            <w:r w:rsidR="00DA014B">
              <w:t>Ja projekta iesniegumā ir pietiekami pamatots, ka citos realizētos projektos Latvijā iepriekš LED ielu gaismekļos nav ticis izmantots atkārtoti pārstrādāts materiāls, tad varētu tikt uzskatīts, ka tas ir inovatīvs risinājums.</w:t>
            </w:r>
          </w:p>
          <w:p w14:paraId="6D2940F3" w14:textId="0E47A85A" w:rsidR="00DA014B" w:rsidRPr="00F47158" w:rsidRDefault="00DA014B">
            <w:pPr>
              <w:autoSpaceDE w:val="0"/>
              <w:autoSpaceDN w:val="0"/>
              <w:jc w:val="both"/>
              <w:rPr>
                <w:b/>
                <w:bCs/>
              </w:rPr>
            </w:pPr>
            <w:r>
              <w:t xml:space="preserve">Projektā var norādīt </w:t>
            </w:r>
            <w:r w:rsidRPr="00DA014B">
              <w:t>papildus SEG emisiju ietaupījumu no atkārtoti pārstrādātā materiāla izmantošanas</w:t>
            </w:r>
            <w:r>
              <w:t xml:space="preserve">, taču to </w:t>
            </w:r>
            <w:r w:rsidRPr="00DA014B">
              <w:rPr>
                <w:b/>
                <w:bCs/>
              </w:rPr>
              <w:t>nevar norādīt kā projekta rezultātā radušos samazinājumu</w:t>
            </w:r>
            <w:r>
              <w:t>.</w:t>
            </w:r>
          </w:p>
        </w:tc>
      </w:tr>
      <w:tr w:rsidR="007E3F1C" w:rsidRPr="00ED2C36" w14:paraId="1B2B108C" w14:textId="77777777" w:rsidTr="001D1942">
        <w:trPr>
          <w:cantSplit/>
        </w:trPr>
        <w:tc>
          <w:tcPr>
            <w:tcW w:w="646" w:type="dxa"/>
          </w:tcPr>
          <w:p w14:paraId="11E9C652" w14:textId="486CDBC4" w:rsidR="007E3F1C" w:rsidRDefault="007E3F1C" w:rsidP="00F9772C">
            <w:pPr>
              <w:jc w:val="center"/>
            </w:pPr>
            <w:bookmarkStart w:id="13" w:name="_Hlk176165659"/>
            <w:r>
              <w:t>15.</w:t>
            </w:r>
          </w:p>
        </w:tc>
        <w:tc>
          <w:tcPr>
            <w:tcW w:w="6753" w:type="dxa"/>
          </w:tcPr>
          <w:p w14:paraId="7FCD3726" w14:textId="77777777" w:rsidR="007E3F1C" w:rsidRDefault="007E3F1C" w:rsidP="007E3F1C">
            <w:pPr>
              <w:autoSpaceDE w:val="0"/>
              <w:autoSpaceDN w:val="0"/>
              <w:jc w:val="both"/>
            </w:pPr>
            <w:r>
              <w:t xml:space="preserve">Vai projekta ietvaros ir atbalstāma šāda viedā satiksmes infrastruktūras izveide pilsētvidē, kas ietver: 1) luksoforus, kas aprīkoti ar transporta </w:t>
            </w:r>
            <w:proofErr w:type="spellStart"/>
            <w:r>
              <w:t>detekcijas</w:t>
            </w:r>
            <w:proofErr w:type="spellEnd"/>
            <w:r>
              <w:t xml:space="preserve"> sensoriem, 2) saules elektrostaciju (SES), kas saražo nepieciešamo elektroenerģijas apjomu luksoforu infrastruktūras darbības nodrošināšanai (pašpatēriņam), 3) saražotās elektroenerģijas uzglabāšanas iekārtu un 4) vadības programmatūru?</w:t>
            </w:r>
          </w:p>
          <w:p w14:paraId="7EC9AF54" w14:textId="77777777" w:rsidR="007E3F1C" w:rsidRDefault="007E3F1C" w:rsidP="007E3F1C">
            <w:pPr>
              <w:autoSpaceDE w:val="0"/>
              <w:autoSpaceDN w:val="0"/>
              <w:jc w:val="both"/>
            </w:pPr>
          </w:p>
          <w:p w14:paraId="5069E904" w14:textId="1A58138B" w:rsidR="007E3F1C" w:rsidRDefault="007E3F1C" w:rsidP="007E3F1C">
            <w:pPr>
              <w:autoSpaceDE w:val="0"/>
              <w:autoSpaceDN w:val="0"/>
              <w:jc w:val="both"/>
            </w:pPr>
            <w:r>
              <w:t>Vai šādā gadījumā SES ar akumulācijas iekārtu var tikt novietota pašvaldības teritorijā atsevišķi, nevis kā luksofors + saules panelis kombinācijā?</w:t>
            </w:r>
          </w:p>
        </w:tc>
        <w:tc>
          <w:tcPr>
            <w:tcW w:w="7227" w:type="dxa"/>
          </w:tcPr>
          <w:p w14:paraId="4200DB0F" w14:textId="717C02B6" w:rsidR="003C7491" w:rsidRPr="003C7491" w:rsidRDefault="007E3F1C">
            <w:pPr>
              <w:autoSpaceDE w:val="0"/>
              <w:autoSpaceDN w:val="0"/>
              <w:jc w:val="both"/>
            </w:pPr>
            <w:r>
              <w:rPr>
                <w:b/>
                <w:bCs/>
              </w:rPr>
              <w:t xml:space="preserve">Tāds projekts ir atbalstāms un atbildīs MK noteikumu Nr. 333 </w:t>
            </w:r>
            <w:r w:rsidRPr="007E3F1C">
              <w:rPr>
                <w:b/>
                <w:bCs/>
              </w:rPr>
              <w:t>6.2.</w:t>
            </w:r>
            <w:r>
              <w:rPr>
                <w:b/>
                <w:bCs/>
              </w:rPr>
              <w:t> </w:t>
            </w:r>
            <w:r w:rsidRPr="007E3F1C">
              <w:rPr>
                <w:b/>
                <w:bCs/>
              </w:rPr>
              <w:t>apakšpunktā minētajai jomai</w:t>
            </w:r>
            <w:r>
              <w:rPr>
                <w:b/>
                <w:bCs/>
              </w:rPr>
              <w:t xml:space="preserve">. </w:t>
            </w:r>
            <w:r w:rsidR="003C7491" w:rsidRPr="003C7491">
              <w:t>Norādām, ka saules elektrostacijas kopējā uzstādāmā elektriskā jauda nevar pārsniegt 75 kilovatus (</w:t>
            </w:r>
            <w:proofErr w:type="spellStart"/>
            <w:r w:rsidR="003C7491" w:rsidRPr="003C7491">
              <w:t>kWel</w:t>
            </w:r>
            <w:proofErr w:type="spellEnd"/>
            <w:r w:rsidR="003C7491" w:rsidRPr="003C7491">
              <w:t>).</w:t>
            </w:r>
          </w:p>
          <w:p w14:paraId="0A1D2542" w14:textId="3D80FCCC" w:rsidR="007E3F1C" w:rsidRDefault="007E3F1C">
            <w:pPr>
              <w:autoSpaceDE w:val="0"/>
              <w:autoSpaceDN w:val="0"/>
              <w:jc w:val="both"/>
              <w:rPr>
                <w:b/>
                <w:bCs/>
              </w:rPr>
            </w:pPr>
            <w:r w:rsidRPr="003C7491">
              <w:t xml:space="preserve">MK noteikumi Nr. 333 nenosaka prasību šādos gadījumos par saules elektrostacijas un akumulācijas tvertnes novietojumu un tas </w:t>
            </w:r>
            <w:r w:rsidRPr="003C7491">
              <w:rPr>
                <w:b/>
                <w:bCs/>
              </w:rPr>
              <w:t xml:space="preserve">var būt </w:t>
            </w:r>
            <w:r w:rsidR="003C7491" w:rsidRPr="003C7491">
              <w:rPr>
                <w:b/>
                <w:bCs/>
              </w:rPr>
              <w:t>novietots citā ar luksoforu nesaistītā īpašumā</w:t>
            </w:r>
            <w:r w:rsidR="003C7491" w:rsidRPr="003C7491">
              <w:t>, ievērojot MK noteikumu Nr. 333 14.1. apakšpunktā noteiktos nosacījumus.</w:t>
            </w:r>
          </w:p>
        </w:tc>
      </w:tr>
      <w:tr w:rsidR="00F51D5D" w:rsidRPr="00ED2C36" w14:paraId="0757E031" w14:textId="77777777" w:rsidTr="001D1942">
        <w:trPr>
          <w:cantSplit/>
        </w:trPr>
        <w:tc>
          <w:tcPr>
            <w:tcW w:w="646" w:type="dxa"/>
          </w:tcPr>
          <w:p w14:paraId="3EDE0E3E" w14:textId="52E1120E" w:rsidR="00F51D5D" w:rsidRDefault="00F51D5D" w:rsidP="00F9772C">
            <w:pPr>
              <w:jc w:val="center"/>
            </w:pPr>
            <w:bookmarkStart w:id="14" w:name="_Hlk176960832"/>
            <w:r w:rsidRPr="00436988">
              <w:rPr>
                <w:color w:val="auto"/>
              </w:rPr>
              <w:lastRenderedPageBreak/>
              <w:t>16.</w:t>
            </w:r>
          </w:p>
        </w:tc>
        <w:tc>
          <w:tcPr>
            <w:tcW w:w="6753" w:type="dxa"/>
          </w:tcPr>
          <w:p w14:paraId="7BA6A840" w14:textId="77777777" w:rsidR="00F51D5D" w:rsidRDefault="00F51D5D" w:rsidP="00F51D5D">
            <w:pPr>
              <w:autoSpaceDE w:val="0"/>
              <w:autoSpaceDN w:val="0"/>
              <w:jc w:val="both"/>
            </w:pPr>
            <w:r>
              <w:t xml:space="preserve">Esam pašvaldības kapitālsabiedrība, kurai deleģējumā ir nodots apsaimniekot pašvaldības sporta bāzes (x% ir pašvaldības kapitāldaļas un y% Latvijas olimpiskā komiteja). Abu objektus apmeklē pilsētas iedzīvotāji. </w:t>
            </w:r>
          </w:p>
          <w:p w14:paraId="37754D5B" w14:textId="77777777" w:rsidR="00F51D5D" w:rsidRDefault="00F51D5D" w:rsidP="00F51D5D">
            <w:pPr>
              <w:autoSpaceDE w:val="0"/>
              <w:autoSpaceDN w:val="0"/>
              <w:jc w:val="both"/>
            </w:pPr>
            <w:r>
              <w:t xml:space="preserve">Vēlamies īstenot vairākus projektus, piemēram, </w:t>
            </w:r>
          </w:p>
          <w:p w14:paraId="2A25662A" w14:textId="297771FF" w:rsidR="00F51D5D" w:rsidRDefault="00F51D5D" w:rsidP="00F51D5D">
            <w:pPr>
              <w:autoSpaceDE w:val="0"/>
              <w:autoSpaceDN w:val="0"/>
              <w:jc w:val="both"/>
            </w:pPr>
            <w:r>
              <w:t xml:space="preserve">1. stadiona gaismekļu nomaiņu, jo esošās patērē ļoti daudz elektrības. </w:t>
            </w:r>
          </w:p>
          <w:p w14:paraId="77CD2562" w14:textId="46EBBA7C" w:rsidR="00F51D5D" w:rsidRDefault="00F51D5D" w:rsidP="00F51D5D">
            <w:pPr>
              <w:autoSpaceDE w:val="0"/>
              <w:autoSpaceDN w:val="0"/>
              <w:jc w:val="both"/>
            </w:pPr>
            <w:r>
              <w:t>2. slēpošanas biatlona centrā ir ļoti novecojis sniega ražošanas lielgabals, kurš patērē ļoti daudz degvielas un potenciāli var piesārņot vidi.</w:t>
            </w:r>
          </w:p>
          <w:p w14:paraId="6B2B4DDA" w14:textId="77777777" w:rsidR="00F51D5D" w:rsidRDefault="00F51D5D" w:rsidP="00F51D5D">
            <w:pPr>
              <w:autoSpaceDE w:val="0"/>
              <w:autoSpaceDN w:val="0"/>
              <w:jc w:val="both"/>
            </w:pPr>
          </w:p>
          <w:p w14:paraId="77568A78" w14:textId="77777777" w:rsidR="00F51D5D" w:rsidRDefault="00F51D5D" w:rsidP="00F51D5D">
            <w:pPr>
              <w:autoSpaceDE w:val="0"/>
              <w:autoSpaceDN w:val="0"/>
              <w:jc w:val="both"/>
            </w:pPr>
            <w:r>
              <w:t>Vai kvalificējamies projektu konkursam pēc sava juridiskā statusa?</w:t>
            </w:r>
          </w:p>
          <w:p w14:paraId="67D533FE" w14:textId="4E0B1B8C" w:rsidR="00F51D5D" w:rsidRDefault="00F51D5D" w:rsidP="00F51D5D">
            <w:pPr>
              <w:autoSpaceDE w:val="0"/>
              <w:autoSpaceDN w:val="0"/>
              <w:jc w:val="both"/>
            </w:pPr>
            <w:r>
              <w:t>Vai minētie projekti ir uzskatāmi par atbalstāmiem?</w:t>
            </w:r>
          </w:p>
        </w:tc>
        <w:tc>
          <w:tcPr>
            <w:tcW w:w="7227" w:type="dxa"/>
          </w:tcPr>
          <w:p w14:paraId="6C089BCF" w14:textId="77777777" w:rsidR="00F51D5D" w:rsidRDefault="00F51D5D">
            <w:pPr>
              <w:autoSpaceDE w:val="0"/>
              <w:autoSpaceDN w:val="0"/>
              <w:jc w:val="both"/>
              <w:rPr>
                <w:rFonts w:eastAsiaTheme="minorHAnsi"/>
                <w:szCs w:val="22"/>
              </w:rPr>
            </w:pPr>
            <w:r w:rsidRPr="00ED2C36">
              <w:rPr>
                <w:rFonts w:eastAsiaTheme="minorHAnsi"/>
                <w:szCs w:val="22"/>
              </w:rPr>
              <w:t xml:space="preserve">MK noteikumu Nr. 333 </w:t>
            </w:r>
            <w:r>
              <w:rPr>
                <w:rFonts w:eastAsiaTheme="minorHAnsi"/>
                <w:szCs w:val="22"/>
              </w:rPr>
              <w:t>4.</w:t>
            </w:r>
            <w:r w:rsidRPr="00ED2C36">
              <w:rPr>
                <w:rFonts w:eastAsiaTheme="minorHAnsi"/>
                <w:szCs w:val="22"/>
              </w:rPr>
              <w:t xml:space="preserve"> punktā ir noteikts, ka</w:t>
            </w:r>
            <w:r>
              <w:rPr>
                <w:rFonts w:eastAsiaTheme="minorHAnsi"/>
                <w:szCs w:val="22"/>
              </w:rPr>
              <w:t xml:space="preserve"> projekta iesniedzējs ir</w:t>
            </w:r>
            <w:r>
              <w:t xml:space="preserve"> </w:t>
            </w:r>
            <w:r w:rsidRPr="00F51D5D">
              <w:rPr>
                <w:rFonts w:eastAsiaTheme="minorHAnsi"/>
                <w:szCs w:val="22"/>
              </w:rPr>
              <w:t>pašvaldības kapitālsabiedrība, kas pilda pašvaldības deleģētos pārvaldes uzdevumus vai ir noslēgusi līgumu par sabiedrisko pakalpojumu sniegšanu</w:t>
            </w:r>
            <w:r>
              <w:rPr>
                <w:rFonts w:eastAsiaTheme="minorHAnsi"/>
                <w:szCs w:val="22"/>
              </w:rPr>
              <w:t xml:space="preserve">. Ja deleģējuma līgums par sporta bāzes apsaimniekošanu ir noslēgts ar pašvaldību, tad ir </w:t>
            </w:r>
            <w:r w:rsidRPr="00F51D5D">
              <w:rPr>
                <w:rFonts w:eastAsiaTheme="minorHAnsi"/>
                <w:b/>
                <w:bCs/>
                <w:szCs w:val="22"/>
              </w:rPr>
              <w:t>uzskatāms, ka kvalificējaties konkursam pēc juridiskā statusa</w:t>
            </w:r>
            <w:r>
              <w:rPr>
                <w:rFonts w:eastAsiaTheme="minorHAnsi"/>
                <w:szCs w:val="22"/>
              </w:rPr>
              <w:t>.</w:t>
            </w:r>
          </w:p>
          <w:p w14:paraId="363F9D9E" w14:textId="77777777" w:rsidR="00F51D5D" w:rsidRDefault="00F51D5D">
            <w:pPr>
              <w:autoSpaceDE w:val="0"/>
              <w:autoSpaceDN w:val="0"/>
              <w:jc w:val="both"/>
            </w:pPr>
            <w:r w:rsidRPr="008B187A">
              <w:rPr>
                <w:b/>
                <w:bCs/>
              </w:rPr>
              <w:t>Stadiona gaismekļu nomaiņa atbilst</w:t>
            </w:r>
            <w:r>
              <w:t xml:space="preserve"> </w:t>
            </w:r>
            <w:r w:rsidRPr="00F51D5D">
              <w:t>MK noteikumi Nr. 333</w:t>
            </w:r>
            <w:r>
              <w:t xml:space="preserve"> minētajām atbalstāmajām aktivitātēm.</w:t>
            </w:r>
          </w:p>
          <w:p w14:paraId="79387E72" w14:textId="357FD136" w:rsidR="008B187A" w:rsidRDefault="008B187A">
            <w:pPr>
              <w:autoSpaceDE w:val="0"/>
              <w:autoSpaceDN w:val="0"/>
              <w:jc w:val="both"/>
              <w:rPr>
                <w:b/>
                <w:bCs/>
              </w:rPr>
            </w:pPr>
            <w:r w:rsidRPr="008B187A">
              <w:rPr>
                <w:b/>
                <w:bCs/>
              </w:rPr>
              <w:t xml:space="preserve">Sniega ražošanas lielgabals </w:t>
            </w:r>
            <w:proofErr w:type="spellStart"/>
            <w:r w:rsidR="00436988">
              <w:rPr>
                <w:b/>
                <w:bCs/>
              </w:rPr>
              <w:t>pirmsškietāmi</w:t>
            </w:r>
            <w:proofErr w:type="spellEnd"/>
            <w:r w:rsidR="00436988">
              <w:rPr>
                <w:b/>
                <w:bCs/>
              </w:rPr>
              <w:t xml:space="preserve"> nebūtu</w:t>
            </w:r>
            <w:r w:rsidRPr="008B187A">
              <w:rPr>
                <w:b/>
                <w:bCs/>
              </w:rPr>
              <w:t xml:space="preserve"> uzskatāms par pilsētvides tehnoloģiju</w:t>
            </w:r>
            <w:r>
              <w:t xml:space="preserve"> un attiecīgi neatbildīs </w:t>
            </w:r>
            <w:r w:rsidRPr="00F51D5D">
              <w:t>MK noteikumi Nr. 333</w:t>
            </w:r>
            <w:r>
              <w:t xml:space="preserve"> minētajām atbalstāmajām aktivitātēm.</w:t>
            </w:r>
          </w:p>
        </w:tc>
      </w:tr>
      <w:tr w:rsidR="00466BCD" w:rsidRPr="00ED2C36" w14:paraId="1FA0E911" w14:textId="77777777" w:rsidTr="001D1942">
        <w:trPr>
          <w:cantSplit/>
        </w:trPr>
        <w:tc>
          <w:tcPr>
            <w:tcW w:w="646" w:type="dxa"/>
          </w:tcPr>
          <w:p w14:paraId="04052FA6" w14:textId="31B107CE" w:rsidR="00466BCD" w:rsidRPr="008B187A" w:rsidRDefault="00466BCD" w:rsidP="00F9772C">
            <w:pPr>
              <w:jc w:val="center"/>
              <w:rPr>
                <w:color w:val="FF0000"/>
              </w:rPr>
            </w:pPr>
            <w:bookmarkStart w:id="15" w:name="_Hlk176505542"/>
            <w:bookmarkEnd w:id="14"/>
            <w:r w:rsidRPr="00466BCD">
              <w:rPr>
                <w:color w:val="auto"/>
              </w:rPr>
              <w:t>17.</w:t>
            </w:r>
          </w:p>
        </w:tc>
        <w:tc>
          <w:tcPr>
            <w:tcW w:w="6753" w:type="dxa"/>
          </w:tcPr>
          <w:p w14:paraId="5601A8BA" w14:textId="18C298F5" w:rsidR="00466BCD" w:rsidRDefault="00466BCD" w:rsidP="00F51D5D">
            <w:pPr>
              <w:autoSpaceDE w:val="0"/>
              <w:autoSpaceDN w:val="0"/>
              <w:jc w:val="both"/>
            </w:pPr>
            <w:r w:rsidRPr="00466BCD">
              <w:t>Vai CO</w:t>
            </w:r>
            <w:r w:rsidRPr="00466BCD">
              <w:rPr>
                <w:vertAlign w:val="subscript"/>
              </w:rPr>
              <w:t>2</w:t>
            </w:r>
            <w:r w:rsidRPr="00466BCD">
              <w:t xml:space="preserve"> emisiju samazinājuma efektivitātes rādītājs (≥0,1 kg CO</w:t>
            </w:r>
            <w:r w:rsidRPr="00466BCD">
              <w:rPr>
                <w:vertAlign w:val="subscript"/>
              </w:rPr>
              <w:t>2</w:t>
            </w:r>
            <w:r w:rsidRPr="00466BCD">
              <w:t>/EUR gadā) (MK noteikum</w:t>
            </w:r>
            <w:r>
              <w:t>u</w:t>
            </w:r>
            <w:r w:rsidRPr="00466BCD">
              <w:t xml:space="preserve"> Nr. 333</w:t>
            </w:r>
            <w:r>
              <w:t xml:space="preserve"> </w:t>
            </w:r>
            <w:r w:rsidRPr="00466BCD">
              <w:t>9.</w:t>
            </w:r>
            <w:r>
              <w:t xml:space="preserve"> </w:t>
            </w:r>
            <w:r w:rsidRPr="00466BCD">
              <w:t>punkts) ir attiecināms projektā, kura ietvaros paredzēts ieviest viedo apgaismojumu (LED tehnoloģiju ielu gaismekļus ar kontrolieriem un vadības sistēmu, kā rezultātā tiktu samazināts elektroenerģijas patēriņš un CO</w:t>
            </w:r>
            <w:r w:rsidRPr="00466BCD">
              <w:rPr>
                <w:vertAlign w:val="subscript"/>
              </w:rPr>
              <w:t>2</w:t>
            </w:r>
            <w:r w:rsidRPr="00466BCD">
              <w:t xml:space="preserve"> emisijas?</w:t>
            </w:r>
          </w:p>
        </w:tc>
        <w:tc>
          <w:tcPr>
            <w:tcW w:w="7227" w:type="dxa"/>
          </w:tcPr>
          <w:p w14:paraId="18B2D4F8" w14:textId="60A332A8" w:rsidR="00466BCD" w:rsidRPr="00ED2C36" w:rsidRDefault="00466BCD">
            <w:pPr>
              <w:autoSpaceDE w:val="0"/>
              <w:autoSpaceDN w:val="0"/>
              <w:jc w:val="both"/>
            </w:pPr>
            <w:r>
              <w:t xml:space="preserve">Ielas gaismekļu nomaiņa uz energoefektīviem LED gaismekļiem būtu uzskatāma par </w:t>
            </w:r>
            <w:r w:rsidRPr="006E1E6C">
              <w:t>energoefektivitāti veicinošu viedo pilsētvides tehnoloģiju ieviešan</w:t>
            </w:r>
            <w:r>
              <w:t xml:space="preserve">u, kas samazinātu elektroenerģijas patēriņu, un </w:t>
            </w:r>
            <w:r w:rsidRPr="00270AB4">
              <w:t xml:space="preserve">MK noteikumu Nr. 333 </w:t>
            </w:r>
            <w:r>
              <w:t>9</w:t>
            </w:r>
            <w:r w:rsidRPr="00270AB4">
              <w:t>.</w:t>
            </w:r>
            <w:r>
              <w:t> </w:t>
            </w:r>
            <w:r w:rsidRPr="00270AB4">
              <w:t>punkt</w:t>
            </w:r>
            <w:r>
              <w:t>ā noteiktais e</w:t>
            </w:r>
            <w:r w:rsidRPr="008F7A19">
              <w:t xml:space="preserve">fektivitātes rādītājs </w:t>
            </w:r>
            <w:r w:rsidRPr="008F7A19">
              <w:rPr>
                <w:b/>
                <w:bCs/>
              </w:rPr>
              <w:t>nav attiecināms</w:t>
            </w:r>
            <w:r w:rsidRPr="00466BCD">
              <w:t>.</w:t>
            </w:r>
          </w:p>
        </w:tc>
      </w:tr>
      <w:tr w:rsidR="00466BCD" w:rsidRPr="00ED2C36" w14:paraId="1A91B769" w14:textId="77777777" w:rsidTr="001D1942">
        <w:trPr>
          <w:cantSplit/>
        </w:trPr>
        <w:tc>
          <w:tcPr>
            <w:tcW w:w="646" w:type="dxa"/>
          </w:tcPr>
          <w:p w14:paraId="68189731" w14:textId="06A532BA" w:rsidR="00466BCD" w:rsidRPr="00466BCD" w:rsidRDefault="00466BCD" w:rsidP="00F9772C">
            <w:pPr>
              <w:jc w:val="center"/>
              <w:rPr>
                <w:color w:val="auto"/>
              </w:rPr>
            </w:pPr>
            <w:bookmarkStart w:id="16" w:name="_Hlk176506297"/>
            <w:r>
              <w:rPr>
                <w:color w:val="auto"/>
              </w:rPr>
              <w:t>18.</w:t>
            </w:r>
          </w:p>
        </w:tc>
        <w:tc>
          <w:tcPr>
            <w:tcW w:w="6753" w:type="dxa"/>
          </w:tcPr>
          <w:p w14:paraId="45C25799" w14:textId="05F03ED2" w:rsidR="00466BCD" w:rsidRDefault="00466BCD" w:rsidP="00466BCD">
            <w:pPr>
              <w:autoSpaceDE w:val="0"/>
              <w:autoSpaceDN w:val="0"/>
              <w:jc w:val="both"/>
            </w:pPr>
            <w:r>
              <w:t>1) Vai pašvaldības iestāde var pretendēt uz EKII finansējumu, projekta ietvaros nomainot esošo apgaismojumu uz LED ar viedo vadību zemes vienībās, kas nav tās valdījumā (zemes vienības ir pašvaldības citas iestādes valdījumā, zemesgrāmatā īpašumtiesības ir fiksētas pašvaldībai)?</w:t>
            </w:r>
          </w:p>
          <w:p w14:paraId="4BA77108" w14:textId="77777777" w:rsidR="00466BCD" w:rsidRDefault="00466BCD" w:rsidP="00466BCD">
            <w:pPr>
              <w:autoSpaceDE w:val="0"/>
              <w:autoSpaceDN w:val="0"/>
              <w:jc w:val="both"/>
            </w:pPr>
            <w:r>
              <w:t>2) Vai valdījuma tiesību apliecināšanai būs pietiekami, ja projekta iesniegumam tiks pievienotas pamatlīdzekļu kartīšu kopijas?</w:t>
            </w:r>
          </w:p>
          <w:p w14:paraId="126D31CF" w14:textId="71A821AF" w:rsidR="00466BCD" w:rsidRPr="00466BCD" w:rsidRDefault="00466BCD" w:rsidP="00466BCD">
            <w:pPr>
              <w:autoSpaceDE w:val="0"/>
              <w:autoSpaceDN w:val="0"/>
              <w:jc w:val="both"/>
            </w:pPr>
            <w:r>
              <w:t>3) Vai ir jāsniedz skaidrojums, kādēļ projekta realizācijas vietu, t. i., ielu īpašumtiesības nav reģistrētas zemesgrāmatā?</w:t>
            </w:r>
          </w:p>
        </w:tc>
        <w:tc>
          <w:tcPr>
            <w:tcW w:w="7227" w:type="dxa"/>
          </w:tcPr>
          <w:p w14:paraId="2B6B7C8D" w14:textId="0DD79A1F" w:rsidR="00466BCD" w:rsidRDefault="00466BCD">
            <w:pPr>
              <w:autoSpaceDE w:val="0"/>
              <w:autoSpaceDN w:val="0"/>
              <w:jc w:val="both"/>
              <w:rPr>
                <w:rFonts w:eastAsiaTheme="minorHAnsi"/>
                <w:bCs/>
                <w:szCs w:val="22"/>
              </w:rPr>
            </w:pPr>
            <w:r w:rsidRPr="00ED2C36">
              <w:rPr>
                <w:rFonts w:eastAsiaTheme="minorHAnsi"/>
                <w:szCs w:val="22"/>
              </w:rPr>
              <w:t>MK noteikumu Nr. 333 14.</w:t>
            </w:r>
            <w:r>
              <w:rPr>
                <w:rFonts w:eastAsiaTheme="minorHAnsi"/>
                <w:szCs w:val="22"/>
              </w:rPr>
              <w:t>1</w:t>
            </w:r>
            <w:r w:rsidRPr="00ED2C36">
              <w:rPr>
                <w:rFonts w:eastAsiaTheme="minorHAnsi"/>
                <w:szCs w:val="22"/>
              </w:rPr>
              <w:t>.</w:t>
            </w:r>
            <w:r>
              <w:rPr>
                <w:rFonts w:eastAsiaTheme="minorHAnsi"/>
                <w:szCs w:val="22"/>
              </w:rPr>
              <w:t>3.</w:t>
            </w:r>
            <w:r w:rsidRPr="00ED2C36">
              <w:rPr>
                <w:rFonts w:eastAsiaTheme="minorHAnsi"/>
                <w:szCs w:val="22"/>
              </w:rPr>
              <w:t xml:space="preserve"> </w:t>
            </w:r>
            <w:r>
              <w:rPr>
                <w:rFonts w:eastAsiaTheme="minorHAnsi"/>
                <w:szCs w:val="22"/>
              </w:rPr>
              <w:t>apakš</w:t>
            </w:r>
            <w:r w:rsidRPr="00ED2C36">
              <w:rPr>
                <w:rFonts w:eastAsiaTheme="minorHAnsi"/>
                <w:szCs w:val="22"/>
              </w:rPr>
              <w:t xml:space="preserve">punktā ir noteikts, ka </w:t>
            </w:r>
            <w:r>
              <w:t xml:space="preserve">nomainot esošo apgaismojumu uz LED apgaismojumu ir jāizpildās nosacījumam, ka </w:t>
            </w:r>
            <w:r w:rsidRPr="00AD4080">
              <w:rPr>
                <w:rFonts w:eastAsiaTheme="minorHAnsi"/>
                <w:szCs w:val="22"/>
              </w:rPr>
              <w:t xml:space="preserve">projektā iekļautās aktivitātes ir plānots īstenot </w:t>
            </w:r>
            <w:r w:rsidRPr="00AD4080">
              <w:rPr>
                <w:rFonts w:eastAsiaTheme="minorHAnsi"/>
                <w:b/>
                <w:szCs w:val="22"/>
              </w:rPr>
              <w:t xml:space="preserve">ēkā vai uz zemes, kas </w:t>
            </w:r>
            <w:r w:rsidRPr="00441A99">
              <w:rPr>
                <w:rFonts w:eastAsiaTheme="minorHAnsi"/>
                <w:b/>
                <w:szCs w:val="22"/>
              </w:rPr>
              <w:t>atrodas pašvaldības publiskajā teritorijā un ir projekta iesniedzēja bilancē (attiecas uz apgaismojuma infrastruktūru)</w:t>
            </w:r>
            <w:r w:rsidRPr="00466BCD">
              <w:rPr>
                <w:rFonts w:eastAsiaTheme="minorHAnsi"/>
                <w:bCs/>
                <w:szCs w:val="22"/>
              </w:rPr>
              <w:t>.</w:t>
            </w:r>
            <w:r>
              <w:rPr>
                <w:rFonts w:eastAsiaTheme="minorHAnsi"/>
                <w:bCs/>
                <w:szCs w:val="22"/>
              </w:rPr>
              <w:t xml:space="preserve"> Ja esošais apgaismojums ir uzskaitīts projekta iesniedzēja bilancē, tad tas tiks uzskatīts par atbilstību</w:t>
            </w:r>
            <w:r w:rsidR="0073139A">
              <w:rPr>
                <w:rFonts w:eastAsiaTheme="minorHAnsi"/>
                <w:bCs/>
                <w:szCs w:val="22"/>
              </w:rPr>
              <w:t xml:space="preserve"> un iesniedzot projekta iesniegumu ir jāpievieno pamatlīdzekļu kartītes (izdruka vai kopija)</w:t>
            </w:r>
            <w:r>
              <w:rPr>
                <w:rFonts w:eastAsiaTheme="minorHAnsi"/>
                <w:bCs/>
                <w:szCs w:val="22"/>
              </w:rPr>
              <w:t xml:space="preserve">. </w:t>
            </w:r>
          </w:p>
          <w:p w14:paraId="7A186CD0" w14:textId="234062B7" w:rsidR="00466BCD" w:rsidRDefault="00466BCD">
            <w:pPr>
              <w:autoSpaceDE w:val="0"/>
              <w:autoSpaceDN w:val="0"/>
              <w:jc w:val="both"/>
              <w:rPr>
                <w:rFonts w:eastAsiaTheme="minorHAnsi"/>
                <w:bCs/>
                <w:szCs w:val="22"/>
              </w:rPr>
            </w:pPr>
            <w:r>
              <w:rPr>
                <w:rFonts w:eastAsiaTheme="minorHAnsi"/>
                <w:bCs/>
                <w:szCs w:val="22"/>
              </w:rPr>
              <w:t>Ja apgaismojuma infrastruktūra</w:t>
            </w:r>
            <w:r w:rsidR="0073139A">
              <w:rPr>
                <w:rFonts w:eastAsiaTheme="minorHAnsi"/>
                <w:bCs/>
                <w:szCs w:val="22"/>
              </w:rPr>
              <w:t xml:space="preserve"> (gaismekļi)</w:t>
            </w:r>
            <w:r>
              <w:rPr>
                <w:rFonts w:eastAsiaTheme="minorHAnsi"/>
                <w:bCs/>
                <w:szCs w:val="22"/>
              </w:rPr>
              <w:t xml:space="preserve"> nav uzskaitīta projekta iesniedzēja bilancē, </w:t>
            </w:r>
            <w:r w:rsidR="0073139A">
              <w:rPr>
                <w:rFonts w:eastAsiaTheme="minorHAnsi"/>
                <w:bCs/>
                <w:szCs w:val="22"/>
              </w:rPr>
              <w:t>bet pieder citai juridiskai personai, tad tas tiks uzskatīts par neatbilstību.</w:t>
            </w:r>
          </w:p>
          <w:p w14:paraId="021C811C" w14:textId="1C91C2A6" w:rsidR="00466BCD" w:rsidRDefault="0073139A">
            <w:pPr>
              <w:autoSpaceDE w:val="0"/>
              <w:autoSpaceDN w:val="0"/>
              <w:jc w:val="both"/>
            </w:pPr>
            <w:r>
              <w:t>Nomainot apgaismojuma infrastruktūru nav jāsniedz papildus skaidrojumi, kāpēc īpašumtiesības nav reģistrētas zemesgrāmatā – lai arī tā ir neatbilstība ar citiem normatīvajiem aktiem, taču tas nebūs šķērslis projekta iesnieguma izskatīšanai.</w:t>
            </w:r>
          </w:p>
        </w:tc>
      </w:tr>
      <w:tr w:rsidR="005240D2" w:rsidRPr="00ED2C36" w14:paraId="32E9E86B" w14:textId="77777777" w:rsidTr="001D1942">
        <w:trPr>
          <w:cantSplit/>
        </w:trPr>
        <w:tc>
          <w:tcPr>
            <w:tcW w:w="646" w:type="dxa"/>
          </w:tcPr>
          <w:p w14:paraId="465684F6" w14:textId="0D2E3754" w:rsidR="005240D2" w:rsidRDefault="005240D2" w:rsidP="00F9772C">
            <w:pPr>
              <w:jc w:val="center"/>
              <w:rPr>
                <w:color w:val="auto"/>
              </w:rPr>
            </w:pPr>
            <w:bookmarkStart w:id="17" w:name="_Hlk176528599"/>
            <w:r>
              <w:rPr>
                <w:color w:val="auto"/>
              </w:rPr>
              <w:lastRenderedPageBreak/>
              <w:t>19.</w:t>
            </w:r>
          </w:p>
        </w:tc>
        <w:tc>
          <w:tcPr>
            <w:tcW w:w="6753" w:type="dxa"/>
          </w:tcPr>
          <w:p w14:paraId="0037B63A" w14:textId="68DCD67F" w:rsidR="005240D2" w:rsidRDefault="005240D2" w:rsidP="00466BCD">
            <w:pPr>
              <w:autoSpaceDE w:val="0"/>
              <w:autoSpaceDN w:val="0"/>
              <w:jc w:val="both"/>
            </w:pPr>
            <w:r>
              <w:t>P</w:t>
            </w:r>
            <w:r w:rsidRPr="005240D2">
              <w:t xml:space="preserve">ašvaldībai pieder ēka trīs stāvos, divos no tiem tiek veiktas pašvaldības funkcijas, bet vienā stāvā atrodas </w:t>
            </w:r>
            <w:proofErr w:type="spellStart"/>
            <w:r w:rsidRPr="005240D2">
              <w:t>komerctelpas</w:t>
            </w:r>
            <w:proofErr w:type="spellEnd"/>
            <w:r w:rsidRPr="005240D2">
              <w:t xml:space="preserve">. Pašvaldība vēlas uz ēkas jumta uzstādīt saules paneļus, šo </w:t>
            </w:r>
            <w:r>
              <w:t>divu</w:t>
            </w:r>
            <w:r w:rsidRPr="005240D2">
              <w:t xml:space="preserve"> stāvu pašvaldības funkciju apgādei ar elektroenerģiju, kas saražota no saules. Šobrīd visai ēkai ir viena uzskaite, bet, ja pašvaldība nodalītu un abiem pašvaldības stāviem uzliktu atsevišķu elektroenerģijas pieslēgumu (atsevišķai uzskaitei no </w:t>
            </w:r>
            <w:proofErr w:type="spellStart"/>
            <w:r w:rsidRPr="005240D2">
              <w:t>komerctelpām</w:t>
            </w:r>
            <w:proofErr w:type="spellEnd"/>
            <w:r w:rsidRPr="005240D2">
              <w:t>) - vai tad pašvaldība kvalificētos atbalstam par saules paneļu uzstādīšanu pašpatēriņam?</w:t>
            </w:r>
          </w:p>
        </w:tc>
        <w:tc>
          <w:tcPr>
            <w:tcW w:w="7227" w:type="dxa"/>
          </w:tcPr>
          <w:p w14:paraId="06A718F8" w14:textId="77777777" w:rsidR="00B25BA7" w:rsidRDefault="00B25BA7">
            <w:pPr>
              <w:autoSpaceDE w:val="0"/>
              <w:autoSpaceDN w:val="0"/>
              <w:jc w:val="both"/>
            </w:pPr>
            <w:r w:rsidRPr="00B25BA7">
              <w:t>MK noteikumu Nr. 333 24.</w:t>
            </w:r>
            <w:r>
              <w:t>1</w:t>
            </w:r>
            <w:r w:rsidRPr="00B25BA7">
              <w:t>. apakšpunkts</w:t>
            </w:r>
            <w:r>
              <w:t xml:space="preserve"> nosaka, ka atbalstāma ir saules elektrostacija, ja:</w:t>
            </w:r>
          </w:p>
          <w:p w14:paraId="0BFA22A1" w14:textId="45229694" w:rsidR="00B25BA7" w:rsidRPr="00B25BA7" w:rsidRDefault="00B25BA7" w:rsidP="00B25BA7">
            <w:pPr>
              <w:pStyle w:val="ListParagraph"/>
              <w:numPr>
                <w:ilvl w:val="0"/>
                <w:numId w:val="16"/>
              </w:numPr>
              <w:autoSpaceDE w:val="0"/>
              <w:autoSpaceDN w:val="0"/>
              <w:jc w:val="both"/>
            </w:pPr>
            <w:r>
              <w:t>saules elektrostacijas</w:t>
            </w:r>
            <w:r w:rsidRPr="00B25BA7">
              <w:t xml:space="preserve"> saražotā elektroenerģija </w:t>
            </w:r>
            <w:r w:rsidRPr="00B25BA7">
              <w:rPr>
                <w:b/>
                <w:bCs/>
              </w:rPr>
              <w:t>vismaz 80 % apmērā tiek izmantota pašpatēriņam</w:t>
            </w:r>
            <w:r w:rsidR="002A64AD">
              <w:rPr>
                <w:b/>
                <w:bCs/>
              </w:rPr>
              <w:t xml:space="preserve"> (aprēķina kWh nevis </w:t>
            </w:r>
            <w:r w:rsidR="002A64AD" w:rsidRPr="002A64AD">
              <w:rPr>
                <w:b/>
                <w:bCs/>
                <w:i/>
                <w:iCs/>
              </w:rPr>
              <w:t>euro</w:t>
            </w:r>
            <w:r w:rsidR="002A64AD">
              <w:rPr>
                <w:b/>
                <w:bCs/>
              </w:rPr>
              <w:t>)</w:t>
            </w:r>
            <w:r w:rsidRPr="00B25BA7">
              <w:t xml:space="preserve"> gada griezumā attiecīgajā sistēmas </w:t>
            </w:r>
            <w:proofErr w:type="spellStart"/>
            <w:r w:rsidRPr="00B25BA7">
              <w:t>pieslēgumā</w:t>
            </w:r>
            <w:proofErr w:type="spellEnd"/>
            <w:r w:rsidRPr="00B25BA7">
              <w:t xml:space="preserve"> vai </w:t>
            </w:r>
            <w:r w:rsidRPr="00B25BA7">
              <w:rPr>
                <w:b/>
                <w:bCs/>
              </w:rPr>
              <w:t>visos projekta iesniedzēja objektos</w:t>
            </w:r>
            <w:r w:rsidRPr="00B25BA7">
              <w:t xml:space="preserve"> </w:t>
            </w:r>
            <w:r w:rsidRPr="00B25BA7">
              <w:rPr>
                <w:b/>
                <w:bCs/>
              </w:rPr>
              <w:t>kopā</w:t>
            </w:r>
            <w:r>
              <w:t>;</w:t>
            </w:r>
          </w:p>
          <w:p w14:paraId="68D05B23" w14:textId="2B7CB317" w:rsidR="00B25BA7" w:rsidRPr="00B25BA7" w:rsidRDefault="00B25BA7" w:rsidP="00B25BA7">
            <w:pPr>
              <w:pStyle w:val="ListParagraph"/>
              <w:numPr>
                <w:ilvl w:val="0"/>
                <w:numId w:val="16"/>
              </w:numPr>
              <w:autoSpaceDE w:val="0"/>
              <w:autoSpaceDN w:val="0"/>
              <w:jc w:val="both"/>
            </w:pPr>
            <w:r w:rsidRPr="00B25BA7">
              <w:rPr>
                <w:b/>
                <w:bCs/>
              </w:rPr>
              <w:t>projekta iesniedzējs ir neto norēķinu sistēmas dalībnieks</w:t>
            </w:r>
            <w:r>
              <w:t>;</w:t>
            </w:r>
          </w:p>
          <w:p w14:paraId="4ACC2B72" w14:textId="49B3EC18" w:rsidR="00B25BA7" w:rsidRPr="00B25BA7" w:rsidRDefault="00B25BA7" w:rsidP="00B25BA7">
            <w:pPr>
              <w:pStyle w:val="ListParagraph"/>
              <w:numPr>
                <w:ilvl w:val="0"/>
                <w:numId w:val="16"/>
              </w:numPr>
              <w:autoSpaceDE w:val="0"/>
              <w:autoSpaceDN w:val="0"/>
              <w:jc w:val="both"/>
            </w:pPr>
            <w:r w:rsidRPr="00B25BA7">
              <w:t xml:space="preserve">objektos </w:t>
            </w:r>
            <w:r w:rsidRPr="00B25BA7">
              <w:rPr>
                <w:b/>
                <w:bCs/>
              </w:rPr>
              <w:t>netiek veikta</w:t>
            </w:r>
            <w:r w:rsidRPr="00B25BA7">
              <w:t xml:space="preserve"> saimnieciskā darbība</w:t>
            </w:r>
            <w:r>
              <w:t>;</w:t>
            </w:r>
          </w:p>
          <w:p w14:paraId="622D0D17" w14:textId="16752100" w:rsidR="00B25BA7" w:rsidRPr="00B25BA7" w:rsidRDefault="00B25BA7" w:rsidP="00B25BA7">
            <w:pPr>
              <w:pStyle w:val="ListParagraph"/>
              <w:numPr>
                <w:ilvl w:val="0"/>
                <w:numId w:val="16"/>
              </w:numPr>
              <w:autoSpaceDE w:val="0"/>
              <w:autoSpaceDN w:val="0"/>
              <w:jc w:val="both"/>
            </w:pPr>
            <w:r w:rsidRPr="00B25BA7">
              <w:t xml:space="preserve">saules elektrostacija </w:t>
            </w:r>
            <w:r w:rsidRPr="00B25BA7">
              <w:rPr>
                <w:b/>
                <w:bCs/>
              </w:rPr>
              <w:t>aprīkota ar lietu interneta viedajām ierīcēm</w:t>
            </w:r>
            <w:r>
              <w:t>;</w:t>
            </w:r>
          </w:p>
          <w:p w14:paraId="111EA5EB" w14:textId="267FAD08" w:rsidR="00B25BA7" w:rsidRPr="00B25BA7" w:rsidRDefault="00B25BA7" w:rsidP="00B25BA7">
            <w:pPr>
              <w:pStyle w:val="ListParagraph"/>
              <w:numPr>
                <w:ilvl w:val="0"/>
                <w:numId w:val="16"/>
              </w:numPr>
              <w:autoSpaceDE w:val="0"/>
              <w:autoSpaceDN w:val="0"/>
              <w:jc w:val="both"/>
            </w:pPr>
            <w:r w:rsidRPr="00B25BA7">
              <w:t xml:space="preserve">saules elektrostacijas kopējā uzstādāmā elektriskā jauda ir </w:t>
            </w:r>
            <w:r w:rsidRPr="00B25BA7">
              <w:rPr>
                <w:b/>
                <w:bCs/>
              </w:rPr>
              <w:t xml:space="preserve">līdz 75 kilovatiem </w:t>
            </w:r>
            <w:r w:rsidRPr="00B25BA7">
              <w:t>(</w:t>
            </w:r>
            <w:proofErr w:type="spellStart"/>
            <w:r w:rsidRPr="00B25BA7">
              <w:t>kWel</w:t>
            </w:r>
            <w:proofErr w:type="spellEnd"/>
            <w:r w:rsidRPr="00B25BA7">
              <w:t>)</w:t>
            </w:r>
            <w:r>
              <w:t>;</w:t>
            </w:r>
          </w:p>
          <w:p w14:paraId="31B7E854" w14:textId="77777777" w:rsidR="005240D2" w:rsidRDefault="00B25BA7" w:rsidP="00B25BA7">
            <w:pPr>
              <w:pStyle w:val="ListParagraph"/>
              <w:numPr>
                <w:ilvl w:val="0"/>
                <w:numId w:val="16"/>
              </w:numPr>
              <w:autoSpaceDE w:val="0"/>
              <w:autoSpaceDN w:val="0"/>
              <w:jc w:val="both"/>
            </w:pPr>
            <w:r w:rsidRPr="00B25BA7">
              <w:t xml:space="preserve">saules elektrostacija </w:t>
            </w:r>
            <w:r w:rsidRPr="00B25BA7">
              <w:rPr>
                <w:b/>
                <w:bCs/>
              </w:rPr>
              <w:t>uzstādīta pilsētvidē</w:t>
            </w:r>
            <w:r>
              <w:t>.</w:t>
            </w:r>
          </w:p>
          <w:p w14:paraId="74566EE9" w14:textId="225775CF" w:rsidR="00B25BA7" w:rsidRPr="00B25BA7" w:rsidRDefault="00B25BA7" w:rsidP="00B25BA7">
            <w:pPr>
              <w:autoSpaceDE w:val="0"/>
              <w:autoSpaceDN w:val="0"/>
              <w:jc w:val="both"/>
            </w:pPr>
            <w:r>
              <w:t>Saules paneļu uzstādīšana uz pašvaldībai piederošas ēkas jumta būtu uzskatāma par atbalstāmu</w:t>
            </w:r>
            <w:r w:rsidR="002A64AD">
              <w:t xml:space="preserve"> aktivitāti</w:t>
            </w:r>
            <w:r>
              <w:t xml:space="preserve"> un saražoto elektrību var izmantot </w:t>
            </w:r>
            <w:r w:rsidRPr="00B25BA7">
              <w:t xml:space="preserve">attiecīgajā sistēmas </w:t>
            </w:r>
            <w:proofErr w:type="spellStart"/>
            <w:r w:rsidRPr="00B25BA7">
              <w:t>pieslēgumā</w:t>
            </w:r>
            <w:proofErr w:type="spellEnd"/>
            <w:r>
              <w:t xml:space="preserve"> (ja ir atsevišķs </w:t>
            </w:r>
            <w:r w:rsidR="002A64AD">
              <w:t>līgums</w:t>
            </w:r>
            <w:r>
              <w:t xml:space="preserve">) </w:t>
            </w:r>
            <w:r w:rsidRPr="00B25BA7">
              <w:t>vai visos projekta iesniedzēja objektos kopā</w:t>
            </w:r>
            <w:r w:rsidR="002A64AD">
              <w:t>. P</w:t>
            </w:r>
            <w:r w:rsidR="002A64AD" w:rsidRPr="00B25BA7">
              <w:t>rojekta iesniedzēja objekt</w:t>
            </w:r>
            <w:r w:rsidR="002A64AD">
              <w:t xml:space="preserve">i, kur notiek kaut daļēja saimnieciskā darbība, </w:t>
            </w:r>
            <w:r w:rsidR="002A64AD" w:rsidRPr="002A64AD">
              <w:rPr>
                <w:b/>
                <w:bCs/>
              </w:rPr>
              <w:t>netiks ņemti vērā nosakot 80 % pašpatēriņ</w:t>
            </w:r>
            <w:r w:rsidR="002A64AD">
              <w:rPr>
                <w:b/>
                <w:bCs/>
              </w:rPr>
              <w:t>a prasību izpildi</w:t>
            </w:r>
            <w:r w:rsidR="002A64AD" w:rsidRPr="002A64AD">
              <w:t>.</w:t>
            </w:r>
            <w:r w:rsidR="002A64AD">
              <w:t xml:space="preserve"> Iesakām apsvērt gadījumos, kur vienā ēkā tiek veikta gan saimnieciskā darbība gan pašvaldības funkcijas, izveidot divus neatkarīgus objektus- </w:t>
            </w:r>
            <w:proofErr w:type="spellStart"/>
            <w:r w:rsidR="002A64AD">
              <w:t>pieslēgumus</w:t>
            </w:r>
            <w:proofErr w:type="spellEnd"/>
            <w:r w:rsidR="002A64AD">
              <w:t xml:space="preserve"> AS Sadales tīklam ar atsevišķiem uzskaites skaitītājiem.</w:t>
            </w:r>
          </w:p>
        </w:tc>
      </w:tr>
      <w:tr w:rsidR="0020240C" w:rsidRPr="00ED2C36" w14:paraId="5A804770" w14:textId="77777777" w:rsidTr="001D1942">
        <w:trPr>
          <w:cantSplit/>
        </w:trPr>
        <w:tc>
          <w:tcPr>
            <w:tcW w:w="646" w:type="dxa"/>
          </w:tcPr>
          <w:p w14:paraId="71A9B6BE" w14:textId="35CEAB23" w:rsidR="0020240C" w:rsidRDefault="0020240C" w:rsidP="00F9772C">
            <w:pPr>
              <w:jc w:val="center"/>
              <w:rPr>
                <w:color w:val="auto"/>
              </w:rPr>
            </w:pPr>
            <w:bookmarkStart w:id="18" w:name="_Hlk176851976"/>
            <w:r>
              <w:rPr>
                <w:color w:val="auto"/>
              </w:rPr>
              <w:t>20.</w:t>
            </w:r>
          </w:p>
        </w:tc>
        <w:tc>
          <w:tcPr>
            <w:tcW w:w="6753" w:type="dxa"/>
          </w:tcPr>
          <w:p w14:paraId="16D48279" w14:textId="579E594F" w:rsidR="0020240C" w:rsidRDefault="0020240C" w:rsidP="00466BCD">
            <w:pPr>
              <w:autoSpaceDE w:val="0"/>
              <w:autoSpaceDN w:val="0"/>
              <w:jc w:val="both"/>
            </w:pPr>
            <w:r w:rsidRPr="0020240C">
              <w:t>Vai projekta ietvaros tiks atbalstīta viedā ēku vadības sistēmas jeb BMS (</w:t>
            </w:r>
            <w:r w:rsidRPr="0020240C">
              <w:rPr>
                <w:i/>
                <w:iCs/>
              </w:rPr>
              <w:t xml:space="preserve">Building </w:t>
            </w:r>
            <w:proofErr w:type="spellStart"/>
            <w:r w:rsidRPr="0020240C">
              <w:rPr>
                <w:i/>
                <w:iCs/>
              </w:rPr>
              <w:t>Management</w:t>
            </w:r>
            <w:proofErr w:type="spellEnd"/>
            <w:r w:rsidRPr="0020240C">
              <w:rPr>
                <w:i/>
                <w:iCs/>
              </w:rPr>
              <w:t xml:space="preserve"> </w:t>
            </w:r>
            <w:proofErr w:type="spellStart"/>
            <w:r w:rsidRPr="0020240C">
              <w:rPr>
                <w:i/>
                <w:iCs/>
              </w:rPr>
              <w:t>Systems</w:t>
            </w:r>
            <w:proofErr w:type="spellEnd"/>
            <w:r w:rsidRPr="0020240C">
              <w:t>) uzstādīšana pašvaldības ēkās (skolās, pirmsskolas izglītības iestādēs), lai maksimāli efektīvi un ekonomiski pārvaldīt</w:t>
            </w:r>
            <w:r>
              <w:t>u</w:t>
            </w:r>
            <w:r w:rsidRPr="0020240C">
              <w:t xml:space="preserve"> ēkas, samazinot enerģijas patēriņu</w:t>
            </w:r>
            <w:r>
              <w:t>?</w:t>
            </w:r>
          </w:p>
        </w:tc>
        <w:tc>
          <w:tcPr>
            <w:tcW w:w="7227" w:type="dxa"/>
          </w:tcPr>
          <w:p w14:paraId="583E3045" w14:textId="3ADDD993" w:rsidR="0020240C" w:rsidRDefault="0020240C">
            <w:pPr>
              <w:autoSpaceDE w:val="0"/>
              <w:autoSpaceDN w:val="0"/>
              <w:jc w:val="both"/>
            </w:pPr>
            <w:r w:rsidRPr="0020240C">
              <w:t xml:space="preserve">Tāds projekts </w:t>
            </w:r>
            <w:r w:rsidRPr="00485ABC">
              <w:rPr>
                <w:b/>
                <w:bCs/>
              </w:rPr>
              <w:t>ir atbalstāms</w:t>
            </w:r>
            <w:r w:rsidRPr="0020240C">
              <w:t xml:space="preserve"> un atbildīs MK noteikumu Nr. 333 6.</w:t>
            </w:r>
            <w:r>
              <w:t>2</w:t>
            </w:r>
            <w:r w:rsidRPr="0020240C">
              <w:t>. apakšpunktā minētajai jomai</w:t>
            </w:r>
            <w:r>
              <w:t xml:space="preserve">, </w:t>
            </w:r>
            <w:r w:rsidRPr="00485ABC">
              <w:rPr>
                <w:b/>
                <w:bCs/>
              </w:rPr>
              <w:t xml:space="preserve">pie nosacījuma, </w:t>
            </w:r>
            <w:r w:rsidR="00485ABC" w:rsidRPr="00485ABC">
              <w:rPr>
                <w:b/>
                <w:bCs/>
              </w:rPr>
              <w:t>j</w:t>
            </w:r>
            <w:r w:rsidRPr="00485ABC">
              <w:rPr>
                <w:b/>
                <w:bCs/>
              </w:rPr>
              <w:t>a tik</w:t>
            </w:r>
            <w:r w:rsidR="00485ABC" w:rsidRPr="00485ABC">
              <w:rPr>
                <w:b/>
                <w:bCs/>
              </w:rPr>
              <w:t>s</w:t>
            </w:r>
            <w:r w:rsidRPr="00485ABC">
              <w:rPr>
                <w:b/>
                <w:bCs/>
              </w:rPr>
              <w:t xml:space="preserve"> ievēroti arī citi būtiskākie nosacījumi</w:t>
            </w:r>
            <w:r w:rsidR="00485ABC">
              <w:rPr>
                <w:b/>
                <w:bCs/>
              </w:rPr>
              <w:t>, t.sk.</w:t>
            </w:r>
            <w:r>
              <w:t>:</w:t>
            </w:r>
          </w:p>
          <w:p w14:paraId="680596CF" w14:textId="33E8D120" w:rsidR="0020240C" w:rsidRDefault="0020240C" w:rsidP="0020240C">
            <w:pPr>
              <w:pStyle w:val="ListParagraph"/>
              <w:numPr>
                <w:ilvl w:val="0"/>
                <w:numId w:val="16"/>
              </w:numPr>
              <w:autoSpaceDE w:val="0"/>
              <w:autoSpaceDN w:val="0"/>
              <w:jc w:val="both"/>
            </w:pPr>
            <w:r w:rsidRPr="0020240C">
              <w:t xml:space="preserve">MK noteikumu Nr. 333 </w:t>
            </w:r>
            <w:r>
              <w:t>9</w:t>
            </w:r>
            <w:r w:rsidRPr="0020240C">
              <w:t>. punkts</w:t>
            </w:r>
            <w:r>
              <w:t xml:space="preserve">, kas paredz saskaņojumu ar ražotāju, ja tiek pievienota </w:t>
            </w:r>
            <w:r w:rsidRPr="0020240C">
              <w:t>programmatūra tehnoloģijas darbības optimizācijai vai tajā veikti uzlabojumi</w:t>
            </w:r>
            <w:r>
              <w:t>;</w:t>
            </w:r>
          </w:p>
          <w:p w14:paraId="182E6C2D" w14:textId="77777777" w:rsidR="0020240C" w:rsidRDefault="0020240C" w:rsidP="0020240C">
            <w:pPr>
              <w:pStyle w:val="ListParagraph"/>
              <w:numPr>
                <w:ilvl w:val="0"/>
                <w:numId w:val="16"/>
              </w:numPr>
              <w:autoSpaceDE w:val="0"/>
              <w:autoSpaceDN w:val="0"/>
              <w:jc w:val="both"/>
            </w:pPr>
            <w:r w:rsidRPr="0020240C">
              <w:t>MK noteikumu Nr. 333 2</w:t>
            </w:r>
            <w:r>
              <w:t>3</w:t>
            </w:r>
            <w:r w:rsidRPr="0020240C">
              <w:t>. punkts</w:t>
            </w:r>
            <w:r>
              <w:t>, kas nosaka, ka CO</w:t>
            </w:r>
            <w:r w:rsidRPr="0020240C">
              <w:rPr>
                <w:vertAlign w:val="subscript"/>
              </w:rPr>
              <w:t>2</w:t>
            </w:r>
            <w:r w:rsidRPr="0020240C">
              <w:t xml:space="preserve"> emisijas samazinājum</w:t>
            </w:r>
            <w:r>
              <w:t>s</w:t>
            </w:r>
            <w:r w:rsidRPr="0020240C">
              <w:t xml:space="preserve"> attiecībā pret projekta iesniegumā norādīto finanšu instrumenta finansējumu, nedrīkst būt mazāks par 0,1 kg CO</w:t>
            </w:r>
            <w:r w:rsidRPr="0020240C">
              <w:rPr>
                <w:vertAlign w:val="subscript"/>
              </w:rPr>
              <w:t>2</w:t>
            </w:r>
            <w:r w:rsidRPr="0020240C">
              <w:t>/</w:t>
            </w:r>
            <w:r w:rsidRPr="0020240C">
              <w:rPr>
                <w:i/>
                <w:iCs/>
              </w:rPr>
              <w:t>euro</w:t>
            </w:r>
            <w:r w:rsidRPr="0020240C">
              <w:t xml:space="preserve"> gadā</w:t>
            </w:r>
            <w:r w:rsidR="00485ABC">
              <w:t>.</w:t>
            </w:r>
          </w:p>
          <w:p w14:paraId="719E21B6" w14:textId="583D4812" w:rsidR="00485ABC" w:rsidRPr="00485ABC" w:rsidRDefault="00485ABC" w:rsidP="00485ABC">
            <w:pPr>
              <w:autoSpaceDE w:val="0"/>
              <w:autoSpaceDN w:val="0"/>
              <w:jc w:val="both"/>
            </w:pPr>
            <w:r>
              <w:t xml:space="preserve">Papildus norādām, ka šādos projektos būtu jāiesniedz visu projektā iesaistīto ēku </w:t>
            </w:r>
            <w:r w:rsidRPr="00485ABC">
              <w:t>neatkarīga eksperta ēku energoefektivitātes jomā izstrādāt</w:t>
            </w:r>
            <w:r>
              <w:t>i</w:t>
            </w:r>
            <w:r w:rsidRPr="00485ABC">
              <w:t xml:space="preserve"> un atbilstoši normatīvajiem aktiem par ēku </w:t>
            </w:r>
            <w:proofErr w:type="spellStart"/>
            <w:r w:rsidRPr="00485ABC">
              <w:t>energosertifikāciju</w:t>
            </w:r>
            <w:proofErr w:type="spellEnd"/>
            <w:r w:rsidRPr="00485ABC">
              <w:t xml:space="preserve"> sagatavot</w:t>
            </w:r>
            <w:r>
              <w:t>i</w:t>
            </w:r>
            <w:r w:rsidRPr="00485ABC">
              <w:t xml:space="preserve"> ēkas </w:t>
            </w:r>
            <w:proofErr w:type="spellStart"/>
            <w:r w:rsidRPr="00485ABC">
              <w:t>energosertifikāt</w:t>
            </w:r>
            <w:r>
              <w:t>i</w:t>
            </w:r>
            <w:proofErr w:type="spellEnd"/>
            <w:r>
              <w:t>.</w:t>
            </w:r>
          </w:p>
        </w:tc>
      </w:tr>
      <w:tr w:rsidR="00C7098C" w:rsidRPr="00ED2C36" w14:paraId="7ECF5917" w14:textId="77777777" w:rsidTr="001D1942">
        <w:trPr>
          <w:cantSplit/>
        </w:trPr>
        <w:tc>
          <w:tcPr>
            <w:tcW w:w="646" w:type="dxa"/>
          </w:tcPr>
          <w:p w14:paraId="74802C79" w14:textId="155BE942" w:rsidR="00C7098C" w:rsidRDefault="00C7098C" w:rsidP="00F9772C">
            <w:pPr>
              <w:jc w:val="center"/>
              <w:rPr>
                <w:color w:val="auto"/>
              </w:rPr>
            </w:pPr>
            <w:bookmarkStart w:id="19" w:name="_Hlk176965194"/>
            <w:r>
              <w:rPr>
                <w:color w:val="auto"/>
              </w:rPr>
              <w:lastRenderedPageBreak/>
              <w:t>21.</w:t>
            </w:r>
          </w:p>
        </w:tc>
        <w:tc>
          <w:tcPr>
            <w:tcW w:w="6753" w:type="dxa"/>
          </w:tcPr>
          <w:p w14:paraId="74370A3A" w14:textId="4F1EBC87" w:rsidR="00C7098C" w:rsidRPr="0020240C" w:rsidRDefault="00C7098C" w:rsidP="00466BCD">
            <w:pPr>
              <w:autoSpaceDE w:val="0"/>
              <w:autoSpaceDN w:val="0"/>
              <w:jc w:val="both"/>
            </w:pPr>
            <w:r w:rsidRPr="00C7098C">
              <w:t>Projekta tehniskajā raksturojumā prasīts aprakstīt inovācijas un jauninājumus. Kāda būtu inovāciju definīcija, kas domāts ar inovācijām? Un vai inovācijas ir obligāti jāparedz projektā? Mēs plānojam nomainīt ielu apgaismojuma gaismekļus uz LED gaismekļiem ar viedo vadību - kas būtu atbilstoša inovācija mūsu gadījumā? Vai jāmeklē viedās vadības risinājumi, kas Latvijā vēl nav līdz šim izmantoti? Vai arī der citur Latvijā jau izmantoti risinājumi, bet tādi, kas mūsu novadā būs jauninājums?</w:t>
            </w:r>
          </w:p>
        </w:tc>
        <w:tc>
          <w:tcPr>
            <w:tcW w:w="7227" w:type="dxa"/>
          </w:tcPr>
          <w:p w14:paraId="09695D89" w14:textId="77777777" w:rsidR="00C7098C" w:rsidRDefault="00BD7784">
            <w:pPr>
              <w:autoSpaceDE w:val="0"/>
              <w:autoSpaceDN w:val="0"/>
              <w:jc w:val="both"/>
            </w:pPr>
            <w:r w:rsidRPr="00BD7784">
              <w:t>Produkta inovācija ietver jaunas vai ievērojami uzlabotas preces vai pakalpojumus. Produkta inovācija nozīmē būtiskus uzlabojumus tehniskajā specifikācijā, dažādās komponentēs un materiālos, pastāvošajās programmatūrās, lietotājdraudzīgumu vai citas funkcionālās īpašības</w:t>
            </w:r>
            <w:r>
              <w:t>.</w:t>
            </w:r>
          </w:p>
          <w:p w14:paraId="7E903F0A" w14:textId="2F27213D" w:rsidR="00BD7784" w:rsidRPr="0020240C" w:rsidRDefault="00BD7784">
            <w:pPr>
              <w:autoSpaceDE w:val="0"/>
              <w:autoSpaceDN w:val="0"/>
              <w:jc w:val="both"/>
            </w:pPr>
            <w:r w:rsidRPr="00BD7784">
              <w:rPr>
                <w:b/>
                <w:bCs/>
              </w:rPr>
              <w:t>Iesniedzot projekta iesniegumu nav obligāti jāparedz inovācija</w:t>
            </w:r>
            <w:r>
              <w:t xml:space="preserve">. </w:t>
            </w:r>
            <w:r w:rsidRPr="00BD7784">
              <w:t xml:space="preserve">Maksimālo punktu skaitu </w:t>
            </w:r>
            <w:r>
              <w:t xml:space="preserve">projekta kvalitātes vērtēšanā </w:t>
            </w:r>
            <w:r w:rsidRPr="00BD7784">
              <w:t>saņems, ja projekta ietvaros kaut viena uzstādāmā viedā pilsētvides tehnoloģija ir Latvijā inovatīva un saskaņā ar publiski pieejamo informāciju līdz šim nav uzstādīta Latvijā</w:t>
            </w:r>
            <w:r>
              <w:t>.</w:t>
            </w:r>
          </w:p>
        </w:tc>
      </w:tr>
      <w:tr w:rsidR="009743EE" w:rsidRPr="00ED2C36" w14:paraId="56488761" w14:textId="77777777" w:rsidTr="001D1942">
        <w:trPr>
          <w:cantSplit/>
        </w:trPr>
        <w:tc>
          <w:tcPr>
            <w:tcW w:w="646" w:type="dxa"/>
          </w:tcPr>
          <w:p w14:paraId="21D6A384" w14:textId="2DEC2894" w:rsidR="009743EE" w:rsidRDefault="009743EE" w:rsidP="00F9772C">
            <w:pPr>
              <w:jc w:val="center"/>
              <w:rPr>
                <w:color w:val="auto"/>
              </w:rPr>
            </w:pPr>
            <w:bookmarkStart w:id="20" w:name="_Hlk177055664"/>
            <w:r>
              <w:rPr>
                <w:color w:val="auto"/>
              </w:rPr>
              <w:t>22.</w:t>
            </w:r>
          </w:p>
        </w:tc>
        <w:tc>
          <w:tcPr>
            <w:tcW w:w="6753" w:type="dxa"/>
          </w:tcPr>
          <w:p w14:paraId="5AA607AF" w14:textId="77777777" w:rsidR="009743EE" w:rsidRDefault="009743EE" w:rsidP="009743EE">
            <w:pPr>
              <w:autoSpaceDE w:val="0"/>
              <w:autoSpaceDN w:val="0"/>
              <w:jc w:val="both"/>
            </w:pPr>
            <w:r>
              <w:t>Vēlējos pārliecināties vai nepieciešams rīkot iepirkumu atjaunojamo energoresursu uzstādīšanai, ja aplēstā pakalpojuma summa ir zem 70000 EUR?</w:t>
            </w:r>
          </w:p>
          <w:p w14:paraId="2E81A7A1" w14:textId="77777777" w:rsidR="009743EE" w:rsidRDefault="009743EE" w:rsidP="009743EE">
            <w:pPr>
              <w:autoSpaceDE w:val="0"/>
              <w:autoSpaceDN w:val="0"/>
              <w:jc w:val="both"/>
            </w:pPr>
          </w:p>
          <w:p w14:paraId="3F08AA46" w14:textId="3767F584" w:rsidR="009743EE" w:rsidRDefault="009743EE" w:rsidP="009743EE">
            <w:pPr>
              <w:autoSpaceDE w:val="0"/>
              <w:autoSpaceDN w:val="0"/>
              <w:jc w:val="both"/>
            </w:pPr>
            <w:r>
              <w:t>Ministru kabineta 2017. gada 28. februāra noteikum</w:t>
            </w:r>
            <w:r>
              <w:t>os</w:t>
            </w:r>
            <w:r>
              <w:t xml:space="preserve"> Nr. 104 “Noteikumi par iepirkuma procedūru un tās piemērošanas kārtību pasūtītāja finansētiem projektiem” </w:t>
            </w:r>
            <w:r>
              <w:t>noteikts:</w:t>
            </w:r>
          </w:p>
          <w:p w14:paraId="4A7910A7" w14:textId="77777777" w:rsidR="009743EE" w:rsidRPr="009743EE" w:rsidRDefault="009743EE" w:rsidP="009743EE">
            <w:pPr>
              <w:autoSpaceDE w:val="0"/>
              <w:autoSpaceDN w:val="0"/>
              <w:jc w:val="both"/>
              <w:rPr>
                <w:i/>
                <w:iCs/>
              </w:rPr>
            </w:pPr>
            <w:r w:rsidRPr="009743EE">
              <w:rPr>
                <w:i/>
                <w:iCs/>
              </w:rPr>
              <w:t>5. Lai noslēgtu piegādes, pakalpojumu vai būvdarbu līgumu, finansējuma saņēmējs ir tiesīgs nepiemērot šo noteikumu IV nodaļā minētos nosacījumus jebkurā no šādiem gadījumiem:</w:t>
            </w:r>
          </w:p>
          <w:p w14:paraId="424BCB01" w14:textId="2180AC9D" w:rsidR="009743EE" w:rsidRPr="00C7098C" w:rsidRDefault="009743EE" w:rsidP="009743EE">
            <w:pPr>
              <w:autoSpaceDE w:val="0"/>
              <w:autoSpaceDN w:val="0"/>
              <w:jc w:val="both"/>
            </w:pPr>
            <w:r w:rsidRPr="009743EE">
              <w:rPr>
                <w:i/>
                <w:iCs/>
              </w:rPr>
              <w:t>5.1. piegādes vai pakalpojumu paredzamā līgumcena ir mazāka par 70 000 euro vai būvdarbu paredzamā līgumcena ir mazāka par 170 000 euro;</w:t>
            </w:r>
          </w:p>
        </w:tc>
        <w:tc>
          <w:tcPr>
            <w:tcW w:w="7227" w:type="dxa"/>
          </w:tcPr>
          <w:p w14:paraId="743C3ACA" w14:textId="7B3A4BB3" w:rsidR="009743EE" w:rsidRDefault="00244C3B">
            <w:pPr>
              <w:autoSpaceDE w:val="0"/>
              <w:autoSpaceDN w:val="0"/>
              <w:jc w:val="both"/>
            </w:pPr>
            <w:r w:rsidRPr="00244C3B">
              <w:t>MK noteikum</w:t>
            </w:r>
            <w:r>
              <w:t>i</w:t>
            </w:r>
            <w:r w:rsidRPr="00244C3B">
              <w:t xml:space="preserve"> Nr. 333</w:t>
            </w:r>
            <w:r>
              <w:t xml:space="preserve"> nenosaka iepirkuma procedūru piemērošanas kārtību, vienlaikus projekta iesniedzējam ir pienākums ievērot publiskos iepirkumus reglamentējošo normatīvo aktu prasības.</w:t>
            </w:r>
          </w:p>
          <w:p w14:paraId="0245330B" w14:textId="0359F159" w:rsidR="00244C3B" w:rsidRDefault="00244C3B">
            <w:pPr>
              <w:autoSpaceDE w:val="0"/>
              <w:autoSpaceDN w:val="0"/>
              <w:jc w:val="both"/>
            </w:pPr>
            <w:r>
              <w:t xml:space="preserve">Jūsu jautājumā norādītais, ka pie zināmiem </w:t>
            </w:r>
            <w:r w:rsidRPr="00244C3B">
              <w:t>paredzamās līgumcenas sliekšņiem</w:t>
            </w:r>
            <w:r>
              <w:t xml:space="preserve"> nav jāievēro </w:t>
            </w:r>
            <w:r w:rsidRPr="00244C3B">
              <w:t>Ministru kabineta 2017. gada 28. februāra noteikumos Nr. 104</w:t>
            </w:r>
            <w:r>
              <w:t xml:space="preserve"> </w:t>
            </w:r>
            <w:r>
              <w:t>IV.</w:t>
            </w:r>
            <w:r>
              <w:t> n</w:t>
            </w:r>
            <w:r>
              <w:t>odaļā minē</w:t>
            </w:r>
            <w:r>
              <w:t>tie nosacījumi nenozīmē, ka tas atceļ pārējās nodaļās vai citos normatīvajos aktos noteiktos nosacījumus.</w:t>
            </w:r>
          </w:p>
          <w:p w14:paraId="70B7CD36" w14:textId="410BE202" w:rsidR="00244C3B" w:rsidRPr="00BD7784" w:rsidRDefault="00244C3B">
            <w:pPr>
              <w:autoSpaceDE w:val="0"/>
              <w:autoSpaceDN w:val="0"/>
              <w:jc w:val="both"/>
            </w:pPr>
            <w:r>
              <w:t xml:space="preserve">Vēršam uzmanību, ka </w:t>
            </w:r>
            <w:r w:rsidRPr="00244C3B">
              <w:t>MK noteikum</w:t>
            </w:r>
            <w:r>
              <w:t>u</w:t>
            </w:r>
            <w:r w:rsidRPr="00244C3B">
              <w:t xml:space="preserve"> Nr. 333</w:t>
            </w:r>
            <w:r>
              <w:t xml:space="preserve"> 30.7. apakšpunktā ir noteikts, ka </w:t>
            </w:r>
            <w:r w:rsidRPr="00244C3B">
              <w:rPr>
                <w:b/>
                <w:bCs/>
              </w:rPr>
              <w:t>projekta i</w:t>
            </w:r>
            <w:r w:rsidRPr="00244C3B">
              <w:rPr>
                <w:b/>
                <w:bCs/>
              </w:rPr>
              <w:t>zmaksas uzskatāmas par attiecināmām, ja tās</w:t>
            </w:r>
            <w:r w:rsidRPr="00244C3B">
              <w:rPr>
                <w:b/>
                <w:bCs/>
              </w:rPr>
              <w:t xml:space="preserve"> </w:t>
            </w:r>
            <w:r w:rsidRPr="00244C3B">
              <w:rPr>
                <w:b/>
                <w:bCs/>
              </w:rPr>
              <w:t>ir faktiski veiktas, ievērojot</w:t>
            </w:r>
            <w:r w:rsidRPr="00244C3B">
              <w:t xml:space="preserve"> finanšu vadības, </w:t>
            </w:r>
            <w:r w:rsidRPr="00244C3B">
              <w:rPr>
                <w:b/>
                <w:bCs/>
              </w:rPr>
              <w:t>ekonomiskuma</w:t>
            </w:r>
            <w:r w:rsidRPr="00244C3B">
              <w:t xml:space="preserve"> un efektivitātes, ilgtspējīgas projektēšanas un būvniecības </w:t>
            </w:r>
            <w:r w:rsidRPr="00244C3B">
              <w:rPr>
                <w:b/>
                <w:bCs/>
              </w:rPr>
              <w:t>prasības</w:t>
            </w:r>
            <w:r w:rsidRPr="00244C3B">
              <w:t>, kā arī sabiedrības intereses</w:t>
            </w:r>
            <w:r>
              <w:t>.</w:t>
            </w:r>
          </w:p>
        </w:tc>
      </w:tr>
      <w:tr w:rsidR="000A1F47" w:rsidRPr="00ED2C36" w14:paraId="0850C0B9" w14:textId="77777777" w:rsidTr="001D1942">
        <w:trPr>
          <w:cantSplit/>
        </w:trPr>
        <w:tc>
          <w:tcPr>
            <w:tcW w:w="646" w:type="dxa"/>
          </w:tcPr>
          <w:p w14:paraId="269AEF18" w14:textId="2B98221E" w:rsidR="000A1F47" w:rsidRDefault="000A1F47" w:rsidP="00F9772C">
            <w:pPr>
              <w:jc w:val="center"/>
              <w:rPr>
                <w:color w:val="auto"/>
              </w:rPr>
            </w:pPr>
            <w:bookmarkStart w:id="21" w:name="_Hlk177056928"/>
            <w:r>
              <w:rPr>
                <w:color w:val="auto"/>
              </w:rPr>
              <w:t>23.</w:t>
            </w:r>
          </w:p>
        </w:tc>
        <w:tc>
          <w:tcPr>
            <w:tcW w:w="6753" w:type="dxa"/>
          </w:tcPr>
          <w:p w14:paraId="20D32E8F" w14:textId="1921EAC9" w:rsidR="000A1F47" w:rsidRDefault="000A1F47" w:rsidP="009743EE">
            <w:pPr>
              <w:autoSpaceDE w:val="0"/>
              <w:autoSpaceDN w:val="0"/>
              <w:jc w:val="both"/>
            </w:pPr>
            <w:r w:rsidRPr="000A1F47">
              <w:t xml:space="preserve">Kā tiek pamatots saražotās elektroenerģijas 100% pašpatēriņš? Atbilstoši pēdējo divu gadu elektroenerģijas patēriņam konkrētajā sistēmas </w:t>
            </w:r>
            <w:proofErr w:type="spellStart"/>
            <w:r w:rsidRPr="000A1F47">
              <w:t>pieslēgumā</w:t>
            </w:r>
            <w:proofErr w:type="spellEnd"/>
            <w:r w:rsidRPr="000A1F47">
              <w:t>?</w:t>
            </w:r>
          </w:p>
        </w:tc>
        <w:tc>
          <w:tcPr>
            <w:tcW w:w="7227" w:type="dxa"/>
          </w:tcPr>
          <w:p w14:paraId="7857DB39" w14:textId="77777777" w:rsidR="000A1F47" w:rsidRDefault="000A1F47">
            <w:pPr>
              <w:autoSpaceDE w:val="0"/>
              <w:autoSpaceDN w:val="0"/>
              <w:jc w:val="both"/>
            </w:pPr>
            <w:r w:rsidRPr="00244C3B">
              <w:t>MK noteikum</w:t>
            </w:r>
            <w:r>
              <w:t>i</w:t>
            </w:r>
            <w:r w:rsidRPr="00244C3B">
              <w:t xml:space="preserve"> Nr. 333</w:t>
            </w:r>
            <w:r>
              <w:t xml:space="preserve"> </w:t>
            </w:r>
            <w:r w:rsidRPr="000A1F47">
              <w:t>24.1.</w:t>
            </w:r>
            <w:r w:rsidRPr="000A1F47">
              <w:rPr>
                <w:vertAlign w:val="superscript"/>
              </w:rPr>
              <w:t>1</w:t>
            </w:r>
            <w:r>
              <w:t xml:space="preserve"> apakšpunkts </w:t>
            </w:r>
            <w:r w:rsidRPr="00834055">
              <w:rPr>
                <w:b/>
                <w:bCs/>
              </w:rPr>
              <w:t>nosaka prasības, kas būs jāievēro monitoringa perioda laikā</w:t>
            </w:r>
            <w:r>
              <w:t>. Iesniedzot projekta iesniegum</w:t>
            </w:r>
            <w:r w:rsidR="00834055">
              <w:t>u, gadījumos, kad vēsturiskais elektrības patēriņš ir būtiski mazāks par plānoto saražoto elektrības apjomu, aicinām projekta iesnieguma veidlapas sadaļā “</w:t>
            </w:r>
            <w:r w:rsidR="00834055" w:rsidRPr="00834055">
              <w:rPr>
                <w:i/>
                <w:iCs/>
              </w:rPr>
              <w:t>2.4. Projekta nepieciešamības un aktivitāšu piemērotības pamatojums</w:t>
            </w:r>
            <w:r w:rsidR="00834055">
              <w:t xml:space="preserve">” sniegt izvērstu detalizētu pamatojumu, kā tiks nodrošināts </w:t>
            </w:r>
            <w:r w:rsidR="00834055" w:rsidRPr="00244C3B">
              <w:t>MK noteikum</w:t>
            </w:r>
            <w:r w:rsidR="00834055">
              <w:t>os</w:t>
            </w:r>
            <w:r w:rsidR="00834055" w:rsidRPr="00244C3B">
              <w:t xml:space="preserve"> Nr. 333</w:t>
            </w:r>
            <w:r w:rsidR="00834055">
              <w:t xml:space="preserve"> </w:t>
            </w:r>
            <w:r w:rsidR="00834055" w:rsidRPr="000A1F47">
              <w:t>24.1.</w:t>
            </w:r>
            <w:r w:rsidR="00834055" w:rsidRPr="000A1F47">
              <w:rPr>
                <w:vertAlign w:val="superscript"/>
              </w:rPr>
              <w:t>1</w:t>
            </w:r>
            <w:r w:rsidR="00834055">
              <w:t> </w:t>
            </w:r>
            <w:r w:rsidR="00834055">
              <w:t>apakšpunkt</w:t>
            </w:r>
            <w:r w:rsidR="00834055">
              <w:t>ā minēto prasību izpilde monitoringa periodā pēc projekta īstenošanas – minimums 5 gadus.</w:t>
            </w:r>
          </w:p>
          <w:p w14:paraId="60ADD853" w14:textId="66B14B54" w:rsidR="00834055" w:rsidRPr="00244C3B" w:rsidRDefault="00834055">
            <w:pPr>
              <w:autoSpaceDE w:val="0"/>
              <w:autoSpaceDN w:val="0"/>
              <w:jc w:val="both"/>
            </w:pPr>
            <w:r>
              <w:t>El</w:t>
            </w:r>
            <w:r w:rsidRPr="00834055">
              <w:t>ektroenerģija</w:t>
            </w:r>
            <w:r>
              <w:t>s</w:t>
            </w:r>
            <w:r w:rsidRPr="00834055">
              <w:t xml:space="preserve"> pašpatēriņ</w:t>
            </w:r>
            <w:r>
              <w:t>u monitoringa periodā, katru monitoringa gadu aprēķinās balstoties uz elektroenerģijas piegādātāja izrakstītiem rēķiniem – tīklā nodotā elektroenerģija (kWh) nevarēs būt lielāka par no tīkla saņemto elektroenerģiju (kWh).</w:t>
            </w:r>
          </w:p>
        </w:tc>
      </w:tr>
      <w:bookmarkEnd w:id="11"/>
      <w:bookmarkEnd w:id="12"/>
      <w:bookmarkEnd w:id="13"/>
      <w:bookmarkEnd w:id="15"/>
      <w:bookmarkEnd w:id="16"/>
      <w:bookmarkEnd w:id="17"/>
      <w:bookmarkEnd w:id="18"/>
      <w:bookmarkEnd w:id="19"/>
      <w:bookmarkEnd w:id="20"/>
      <w:bookmarkEnd w:id="21"/>
    </w:tbl>
    <w:p w14:paraId="008D6F2C" w14:textId="12F93095" w:rsidR="004D44E0" w:rsidRPr="00ED2C36" w:rsidRDefault="004D44E0"/>
    <w:sectPr w:rsidR="004D44E0" w:rsidRPr="00ED2C36" w:rsidSect="00AB59BD">
      <w:headerReference w:type="default" r:id="rId1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38C1F" w14:textId="77777777" w:rsidR="009E7152" w:rsidRDefault="009E7152" w:rsidP="00AB59BD">
      <w:r>
        <w:separator/>
      </w:r>
    </w:p>
  </w:endnote>
  <w:endnote w:type="continuationSeparator" w:id="0">
    <w:p w14:paraId="5BF4D076" w14:textId="77777777" w:rsidR="009E7152" w:rsidRDefault="009E7152" w:rsidP="00AB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31BD3" w14:textId="77777777" w:rsidR="009E7152" w:rsidRDefault="009E7152" w:rsidP="00AB59BD">
      <w:r>
        <w:separator/>
      </w:r>
    </w:p>
  </w:footnote>
  <w:footnote w:type="continuationSeparator" w:id="0">
    <w:p w14:paraId="31852A6B" w14:textId="77777777" w:rsidR="009E7152" w:rsidRDefault="009E7152" w:rsidP="00AB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77972" w14:textId="77777777" w:rsidR="00AB59BD" w:rsidRDefault="00AB59BD" w:rsidP="00AB59BD">
    <w:pPr>
      <w:jc w:val="right"/>
      <w:rPr>
        <w:noProof/>
        <w:lang w:eastAsia="lv-LV"/>
      </w:rPr>
    </w:pPr>
  </w:p>
  <w:p w14:paraId="1E1AB80C" w14:textId="77777777" w:rsidR="00AB49B6" w:rsidRDefault="00AB49B6" w:rsidP="00AB59B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6E2F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DC2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8439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5E5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C6C7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8C4E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0DF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BAAF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DC4A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E6C1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F2C59"/>
    <w:multiLevelType w:val="hybridMultilevel"/>
    <w:tmpl w:val="31ACF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4D6696A"/>
    <w:multiLevelType w:val="hybridMultilevel"/>
    <w:tmpl w:val="B97EB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6AB2295"/>
    <w:multiLevelType w:val="hybridMultilevel"/>
    <w:tmpl w:val="CCFECD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EA35BB0"/>
    <w:multiLevelType w:val="hybridMultilevel"/>
    <w:tmpl w:val="962C8A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8924E4"/>
    <w:multiLevelType w:val="hybridMultilevel"/>
    <w:tmpl w:val="DD56C4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ABA203A"/>
    <w:multiLevelType w:val="hybridMultilevel"/>
    <w:tmpl w:val="B98E01D6"/>
    <w:lvl w:ilvl="0" w:tplc="4E7652E6">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num w:numId="1" w16cid:durableId="983195076">
    <w:abstractNumId w:val="13"/>
  </w:num>
  <w:num w:numId="2" w16cid:durableId="1850867738">
    <w:abstractNumId w:val="11"/>
  </w:num>
  <w:num w:numId="3" w16cid:durableId="406419750">
    <w:abstractNumId w:val="10"/>
  </w:num>
  <w:num w:numId="4" w16cid:durableId="90395416">
    <w:abstractNumId w:val="15"/>
  </w:num>
  <w:num w:numId="5" w16cid:durableId="1121269460">
    <w:abstractNumId w:val="9"/>
  </w:num>
  <w:num w:numId="6" w16cid:durableId="1076050938">
    <w:abstractNumId w:val="7"/>
  </w:num>
  <w:num w:numId="7" w16cid:durableId="963078294">
    <w:abstractNumId w:val="6"/>
  </w:num>
  <w:num w:numId="8" w16cid:durableId="1871644515">
    <w:abstractNumId w:val="5"/>
  </w:num>
  <w:num w:numId="9" w16cid:durableId="2113283633">
    <w:abstractNumId w:val="4"/>
  </w:num>
  <w:num w:numId="10" w16cid:durableId="537085550">
    <w:abstractNumId w:val="8"/>
  </w:num>
  <w:num w:numId="11" w16cid:durableId="280260606">
    <w:abstractNumId w:val="3"/>
  </w:num>
  <w:num w:numId="12" w16cid:durableId="340399313">
    <w:abstractNumId w:val="2"/>
  </w:num>
  <w:num w:numId="13" w16cid:durableId="1548178604">
    <w:abstractNumId w:val="1"/>
  </w:num>
  <w:num w:numId="14" w16cid:durableId="1814252339">
    <w:abstractNumId w:val="0"/>
  </w:num>
  <w:num w:numId="15" w16cid:durableId="89814967">
    <w:abstractNumId w:val="14"/>
  </w:num>
  <w:num w:numId="16" w16cid:durableId="1089227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BD"/>
    <w:rsid w:val="000001FA"/>
    <w:rsid w:val="0000041C"/>
    <w:rsid w:val="000006DB"/>
    <w:rsid w:val="00000B49"/>
    <w:rsid w:val="00004CB1"/>
    <w:rsid w:val="00012D81"/>
    <w:rsid w:val="00013D2E"/>
    <w:rsid w:val="000213DF"/>
    <w:rsid w:val="00022CA7"/>
    <w:rsid w:val="0002574E"/>
    <w:rsid w:val="000278AE"/>
    <w:rsid w:val="00053793"/>
    <w:rsid w:val="000575C6"/>
    <w:rsid w:val="000606BD"/>
    <w:rsid w:val="00062C79"/>
    <w:rsid w:val="00064F10"/>
    <w:rsid w:val="000672E7"/>
    <w:rsid w:val="0009237A"/>
    <w:rsid w:val="000940FC"/>
    <w:rsid w:val="00095752"/>
    <w:rsid w:val="000A12ED"/>
    <w:rsid w:val="000A1F47"/>
    <w:rsid w:val="000A3CC4"/>
    <w:rsid w:val="000B37DE"/>
    <w:rsid w:val="000B37F4"/>
    <w:rsid w:val="000C4154"/>
    <w:rsid w:val="000C70C5"/>
    <w:rsid w:val="000D3FA6"/>
    <w:rsid w:val="000E06CE"/>
    <w:rsid w:val="000E10F7"/>
    <w:rsid w:val="000E469F"/>
    <w:rsid w:val="001018AB"/>
    <w:rsid w:val="00116D88"/>
    <w:rsid w:val="00121222"/>
    <w:rsid w:val="00122909"/>
    <w:rsid w:val="0012437F"/>
    <w:rsid w:val="0013291A"/>
    <w:rsid w:val="00134554"/>
    <w:rsid w:val="00137E0C"/>
    <w:rsid w:val="001559CB"/>
    <w:rsid w:val="00172029"/>
    <w:rsid w:val="001721F5"/>
    <w:rsid w:val="00176CD7"/>
    <w:rsid w:val="00180F42"/>
    <w:rsid w:val="00182B56"/>
    <w:rsid w:val="00183B55"/>
    <w:rsid w:val="00187717"/>
    <w:rsid w:val="001A3142"/>
    <w:rsid w:val="001B1DDA"/>
    <w:rsid w:val="001B1F59"/>
    <w:rsid w:val="001B3C5D"/>
    <w:rsid w:val="001C7DA3"/>
    <w:rsid w:val="001D1942"/>
    <w:rsid w:val="0020240C"/>
    <w:rsid w:val="0020383B"/>
    <w:rsid w:val="00204152"/>
    <w:rsid w:val="00205E34"/>
    <w:rsid w:val="002147FB"/>
    <w:rsid w:val="00215868"/>
    <w:rsid w:val="002215AE"/>
    <w:rsid w:val="00221BE5"/>
    <w:rsid w:val="00222052"/>
    <w:rsid w:val="002317A1"/>
    <w:rsid w:val="00231E53"/>
    <w:rsid w:val="00241FCA"/>
    <w:rsid w:val="00242236"/>
    <w:rsid w:val="00242496"/>
    <w:rsid w:val="00244C3B"/>
    <w:rsid w:val="0026198C"/>
    <w:rsid w:val="00262167"/>
    <w:rsid w:val="0026413C"/>
    <w:rsid w:val="00266A78"/>
    <w:rsid w:val="00270184"/>
    <w:rsid w:val="00270AB4"/>
    <w:rsid w:val="0028039C"/>
    <w:rsid w:val="00280EE3"/>
    <w:rsid w:val="0029147B"/>
    <w:rsid w:val="00295F16"/>
    <w:rsid w:val="002A1EC1"/>
    <w:rsid w:val="002A64AD"/>
    <w:rsid w:val="002B05F0"/>
    <w:rsid w:val="002B41E2"/>
    <w:rsid w:val="002C1368"/>
    <w:rsid w:val="002D0082"/>
    <w:rsid w:val="002D27D0"/>
    <w:rsid w:val="002F22F4"/>
    <w:rsid w:val="002F2C0F"/>
    <w:rsid w:val="002F476E"/>
    <w:rsid w:val="003019E6"/>
    <w:rsid w:val="00315341"/>
    <w:rsid w:val="00315BEA"/>
    <w:rsid w:val="0032007A"/>
    <w:rsid w:val="0032061A"/>
    <w:rsid w:val="00333818"/>
    <w:rsid w:val="003348C5"/>
    <w:rsid w:val="003443E4"/>
    <w:rsid w:val="003446BE"/>
    <w:rsid w:val="00351010"/>
    <w:rsid w:val="003527BD"/>
    <w:rsid w:val="00363A9B"/>
    <w:rsid w:val="00372CBA"/>
    <w:rsid w:val="003814F7"/>
    <w:rsid w:val="003874A7"/>
    <w:rsid w:val="00387C70"/>
    <w:rsid w:val="0039104F"/>
    <w:rsid w:val="003A040A"/>
    <w:rsid w:val="003A4721"/>
    <w:rsid w:val="003B54F6"/>
    <w:rsid w:val="003B5882"/>
    <w:rsid w:val="003B65A2"/>
    <w:rsid w:val="003C5E98"/>
    <w:rsid w:val="003C7491"/>
    <w:rsid w:val="003D1BC9"/>
    <w:rsid w:val="003D61A4"/>
    <w:rsid w:val="003D6BD0"/>
    <w:rsid w:val="003E1BD2"/>
    <w:rsid w:val="003E76EC"/>
    <w:rsid w:val="003E7F40"/>
    <w:rsid w:val="003F2F54"/>
    <w:rsid w:val="003F7CB5"/>
    <w:rsid w:val="004012C8"/>
    <w:rsid w:val="00406B61"/>
    <w:rsid w:val="00421627"/>
    <w:rsid w:val="00422722"/>
    <w:rsid w:val="00422760"/>
    <w:rsid w:val="00436988"/>
    <w:rsid w:val="00441A99"/>
    <w:rsid w:val="00446EFA"/>
    <w:rsid w:val="00446F07"/>
    <w:rsid w:val="0046543D"/>
    <w:rsid w:val="00466BCD"/>
    <w:rsid w:val="00480427"/>
    <w:rsid w:val="00485ABC"/>
    <w:rsid w:val="00487574"/>
    <w:rsid w:val="004926FB"/>
    <w:rsid w:val="00493C28"/>
    <w:rsid w:val="004B2363"/>
    <w:rsid w:val="004B3EBC"/>
    <w:rsid w:val="004B463A"/>
    <w:rsid w:val="004B4E18"/>
    <w:rsid w:val="004B63A4"/>
    <w:rsid w:val="004C2819"/>
    <w:rsid w:val="004C2FF4"/>
    <w:rsid w:val="004C4915"/>
    <w:rsid w:val="004D4025"/>
    <w:rsid w:val="004D44E0"/>
    <w:rsid w:val="004D6EBD"/>
    <w:rsid w:val="00500CBF"/>
    <w:rsid w:val="00501BFE"/>
    <w:rsid w:val="00501E88"/>
    <w:rsid w:val="00502074"/>
    <w:rsid w:val="005113AA"/>
    <w:rsid w:val="005153AE"/>
    <w:rsid w:val="005240D2"/>
    <w:rsid w:val="005243D8"/>
    <w:rsid w:val="00527CAE"/>
    <w:rsid w:val="005365ED"/>
    <w:rsid w:val="00545726"/>
    <w:rsid w:val="005500C3"/>
    <w:rsid w:val="00564BE4"/>
    <w:rsid w:val="005653FB"/>
    <w:rsid w:val="005658ED"/>
    <w:rsid w:val="005828B4"/>
    <w:rsid w:val="005848FE"/>
    <w:rsid w:val="0058692E"/>
    <w:rsid w:val="00590347"/>
    <w:rsid w:val="00590874"/>
    <w:rsid w:val="00593D4D"/>
    <w:rsid w:val="005A22DC"/>
    <w:rsid w:val="005A5130"/>
    <w:rsid w:val="005A580F"/>
    <w:rsid w:val="005B00CA"/>
    <w:rsid w:val="005B7FB4"/>
    <w:rsid w:val="005E336F"/>
    <w:rsid w:val="005F0F45"/>
    <w:rsid w:val="006024EE"/>
    <w:rsid w:val="0060319A"/>
    <w:rsid w:val="006037CA"/>
    <w:rsid w:val="00612122"/>
    <w:rsid w:val="00616F0E"/>
    <w:rsid w:val="00622EC4"/>
    <w:rsid w:val="006324A6"/>
    <w:rsid w:val="006447A1"/>
    <w:rsid w:val="006461A6"/>
    <w:rsid w:val="0064734A"/>
    <w:rsid w:val="006512FE"/>
    <w:rsid w:val="0067173B"/>
    <w:rsid w:val="006757D8"/>
    <w:rsid w:val="00676697"/>
    <w:rsid w:val="006866A7"/>
    <w:rsid w:val="006934D8"/>
    <w:rsid w:val="006A2C2B"/>
    <w:rsid w:val="006A350A"/>
    <w:rsid w:val="006A5BFD"/>
    <w:rsid w:val="006B4275"/>
    <w:rsid w:val="006C5AA1"/>
    <w:rsid w:val="006D762F"/>
    <w:rsid w:val="006D79BD"/>
    <w:rsid w:val="006E1E6C"/>
    <w:rsid w:val="006F2CCF"/>
    <w:rsid w:val="007124B7"/>
    <w:rsid w:val="00713DB1"/>
    <w:rsid w:val="007152E1"/>
    <w:rsid w:val="00720D10"/>
    <w:rsid w:val="00721B5A"/>
    <w:rsid w:val="0072481D"/>
    <w:rsid w:val="0073139A"/>
    <w:rsid w:val="0073149C"/>
    <w:rsid w:val="007343D9"/>
    <w:rsid w:val="00737CB3"/>
    <w:rsid w:val="007413B1"/>
    <w:rsid w:val="007536E7"/>
    <w:rsid w:val="007551A7"/>
    <w:rsid w:val="007563C9"/>
    <w:rsid w:val="0076707D"/>
    <w:rsid w:val="00775B7A"/>
    <w:rsid w:val="00794AE3"/>
    <w:rsid w:val="007A4731"/>
    <w:rsid w:val="007A5268"/>
    <w:rsid w:val="007B520A"/>
    <w:rsid w:val="007B6E8E"/>
    <w:rsid w:val="007C03A4"/>
    <w:rsid w:val="007C1B44"/>
    <w:rsid w:val="007C1C37"/>
    <w:rsid w:val="007C7965"/>
    <w:rsid w:val="007D1FFA"/>
    <w:rsid w:val="007E3F1C"/>
    <w:rsid w:val="007F48F7"/>
    <w:rsid w:val="007F659B"/>
    <w:rsid w:val="00803567"/>
    <w:rsid w:val="00805306"/>
    <w:rsid w:val="00805963"/>
    <w:rsid w:val="008059B8"/>
    <w:rsid w:val="00834055"/>
    <w:rsid w:val="0083486A"/>
    <w:rsid w:val="00841582"/>
    <w:rsid w:val="00844A89"/>
    <w:rsid w:val="00847A9E"/>
    <w:rsid w:val="008503A2"/>
    <w:rsid w:val="008546A8"/>
    <w:rsid w:val="00865E6B"/>
    <w:rsid w:val="00865F2C"/>
    <w:rsid w:val="008732E0"/>
    <w:rsid w:val="008854F0"/>
    <w:rsid w:val="00890951"/>
    <w:rsid w:val="008A0DAD"/>
    <w:rsid w:val="008B187A"/>
    <w:rsid w:val="008C1D04"/>
    <w:rsid w:val="008C573E"/>
    <w:rsid w:val="008E0C26"/>
    <w:rsid w:val="008E1D12"/>
    <w:rsid w:val="008F5942"/>
    <w:rsid w:val="008F7A19"/>
    <w:rsid w:val="009079C4"/>
    <w:rsid w:val="00910149"/>
    <w:rsid w:val="00910456"/>
    <w:rsid w:val="00910B77"/>
    <w:rsid w:val="0091551B"/>
    <w:rsid w:val="009178B9"/>
    <w:rsid w:val="00917EF9"/>
    <w:rsid w:val="00922DF7"/>
    <w:rsid w:val="009235C6"/>
    <w:rsid w:val="009336CB"/>
    <w:rsid w:val="00934EBA"/>
    <w:rsid w:val="00944004"/>
    <w:rsid w:val="009505E5"/>
    <w:rsid w:val="009508FC"/>
    <w:rsid w:val="00950B5C"/>
    <w:rsid w:val="00952C3D"/>
    <w:rsid w:val="009743EE"/>
    <w:rsid w:val="009747C2"/>
    <w:rsid w:val="00985E4B"/>
    <w:rsid w:val="009B31A5"/>
    <w:rsid w:val="009B68EE"/>
    <w:rsid w:val="009C4C64"/>
    <w:rsid w:val="009C6F5D"/>
    <w:rsid w:val="009C7996"/>
    <w:rsid w:val="009D38BB"/>
    <w:rsid w:val="009E5BCC"/>
    <w:rsid w:val="009E61BD"/>
    <w:rsid w:val="009E7152"/>
    <w:rsid w:val="00A011C0"/>
    <w:rsid w:val="00A01E84"/>
    <w:rsid w:val="00A11D80"/>
    <w:rsid w:val="00A126AE"/>
    <w:rsid w:val="00A16AF2"/>
    <w:rsid w:val="00A26A07"/>
    <w:rsid w:val="00A34390"/>
    <w:rsid w:val="00A36FEF"/>
    <w:rsid w:val="00A37C54"/>
    <w:rsid w:val="00A40EF6"/>
    <w:rsid w:val="00A4263A"/>
    <w:rsid w:val="00A55064"/>
    <w:rsid w:val="00A565CF"/>
    <w:rsid w:val="00A614B1"/>
    <w:rsid w:val="00A64F1C"/>
    <w:rsid w:val="00A67AFA"/>
    <w:rsid w:val="00A72893"/>
    <w:rsid w:val="00A81D9C"/>
    <w:rsid w:val="00A82E92"/>
    <w:rsid w:val="00A84BA5"/>
    <w:rsid w:val="00A926FF"/>
    <w:rsid w:val="00AB399F"/>
    <w:rsid w:val="00AB49B6"/>
    <w:rsid w:val="00AB59BD"/>
    <w:rsid w:val="00AC0409"/>
    <w:rsid w:val="00AC1556"/>
    <w:rsid w:val="00AC2B7B"/>
    <w:rsid w:val="00AC5A27"/>
    <w:rsid w:val="00AC5DEA"/>
    <w:rsid w:val="00AC760F"/>
    <w:rsid w:val="00AD4080"/>
    <w:rsid w:val="00AD4566"/>
    <w:rsid w:val="00AD4FFE"/>
    <w:rsid w:val="00AD53A3"/>
    <w:rsid w:val="00AD7DFB"/>
    <w:rsid w:val="00AF3075"/>
    <w:rsid w:val="00AF4660"/>
    <w:rsid w:val="00B00AD4"/>
    <w:rsid w:val="00B0453F"/>
    <w:rsid w:val="00B04710"/>
    <w:rsid w:val="00B13B59"/>
    <w:rsid w:val="00B21073"/>
    <w:rsid w:val="00B21B83"/>
    <w:rsid w:val="00B25BA7"/>
    <w:rsid w:val="00B26EE2"/>
    <w:rsid w:val="00B343E1"/>
    <w:rsid w:val="00B41ED9"/>
    <w:rsid w:val="00B4338C"/>
    <w:rsid w:val="00B4744D"/>
    <w:rsid w:val="00B47ADE"/>
    <w:rsid w:val="00B47EFA"/>
    <w:rsid w:val="00B51274"/>
    <w:rsid w:val="00B56ADE"/>
    <w:rsid w:val="00B67C12"/>
    <w:rsid w:val="00B70E24"/>
    <w:rsid w:val="00B74801"/>
    <w:rsid w:val="00BA2C7A"/>
    <w:rsid w:val="00BA71A3"/>
    <w:rsid w:val="00BB29BD"/>
    <w:rsid w:val="00BC21D9"/>
    <w:rsid w:val="00BC7589"/>
    <w:rsid w:val="00BC7FC8"/>
    <w:rsid w:val="00BD5FE3"/>
    <w:rsid w:val="00BD6116"/>
    <w:rsid w:val="00BD6ACC"/>
    <w:rsid w:val="00BD7784"/>
    <w:rsid w:val="00BE75CA"/>
    <w:rsid w:val="00BF1E2C"/>
    <w:rsid w:val="00BF23AC"/>
    <w:rsid w:val="00BF53CF"/>
    <w:rsid w:val="00C11F99"/>
    <w:rsid w:val="00C15DDB"/>
    <w:rsid w:val="00C20964"/>
    <w:rsid w:val="00C42721"/>
    <w:rsid w:val="00C55BA8"/>
    <w:rsid w:val="00C57B81"/>
    <w:rsid w:val="00C62017"/>
    <w:rsid w:val="00C7098C"/>
    <w:rsid w:val="00C8033A"/>
    <w:rsid w:val="00C8661C"/>
    <w:rsid w:val="00C87057"/>
    <w:rsid w:val="00C96432"/>
    <w:rsid w:val="00C975BD"/>
    <w:rsid w:val="00CB2DB0"/>
    <w:rsid w:val="00CB5304"/>
    <w:rsid w:val="00CC6494"/>
    <w:rsid w:val="00CD1A58"/>
    <w:rsid w:val="00CD4DC1"/>
    <w:rsid w:val="00CF280C"/>
    <w:rsid w:val="00CF4333"/>
    <w:rsid w:val="00D0650B"/>
    <w:rsid w:val="00D11DC0"/>
    <w:rsid w:val="00D1264F"/>
    <w:rsid w:val="00D34F7B"/>
    <w:rsid w:val="00D370B9"/>
    <w:rsid w:val="00D427A6"/>
    <w:rsid w:val="00D44B7E"/>
    <w:rsid w:val="00D44E1B"/>
    <w:rsid w:val="00D606D7"/>
    <w:rsid w:val="00D71202"/>
    <w:rsid w:val="00D727CE"/>
    <w:rsid w:val="00D7791E"/>
    <w:rsid w:val="00D80FC5"/>
    <w:rsid w:val="00D87AAB"/>
    <w:rsid w:val="00D91EE4"/>
    <w:rsid w:val="00D945C9"/>
    <w:rsid w:val="00D96656"/>
    <w:rsid w:val="00DA014B"/>
    <w:rsid w:val="00DA18AA"/>
    <w:rsid w:val="00DA2AA5"/>
    <w:rsid w:val="00DB1FF4"/>
    <w:rsid w:val="00DB27A6"/>
    <w:rsid w:val="00DB54FF"/>
    <w:rsid w:val="00DD0F3D"/>
    <w:rsid w:val="00DD1979"/>
    <w:rsid w:val="00DD319C"/>
    <w:rsid w:val="00DD3A2F"/>
    <w:rsid w:val="00DE1188"/>
    <w:rsid w:val="00DE1DC1"/>
    <w:rsid w:val="00DF7547"/>
    <w:rsid w:val="00E224F6"/>
    <w:rsid w:val="00E300CA"/>
    <w:rsid w:val="00E5306C"/>
    <w:rsid w:val="00E557A1"/>
    <w:rsid w:val="00E61AF3"/>
    <w:rsid w:val="00E6339F"/>
    <w:rsid w:val="00E63655"/>
    <w:rsid w:val="00E63D45"/>
    <w:rsid w:val="00E70400"/>
    <w:rsid w:val="00E83F47"/>
    <w:rsid w:val="00E84DA3"/>
    <w:rsid w:val="00E85F5C"/>
    <w:rsid w:val="00E86E32"/>
    <w:rsid w:val="00EA1EC0"/>
    <w:rsid w:val="00EB39E2"/>
    <w:rsid w:val="00EB656E"/>
    <w:rsid w:val="00EC092F"/>
    <w:rsid w:val="00EC403C"/>
    <w:rsid w:val="00ED2C36"/>
    <w:rsid w:val="00EE48E7"/>
    <w:rsid w:val="00EE6CD5"/>
    <w:rsid w:val="00F07C6E"/>
    <w:rsid w:val="00F136E5"/>
    <w:rsid w:val="00F21ECA"/>
    <w:rsid w:val="00F32EA2"/>
    <w:rsid w:val="00F37C41"/>
    <w:rsid w:val="00F47158"/>
    <w:rsid w:val="00F47AD1"/>
    <w:rsid w:val="00F50428"/>
    <w:rsid w:val="00F51D5D"/>
    <w:rsid w:val="00F6138F"/>
    <w:rsid w:val="00F66883"/>
    <w:rsid w:val="00F67D76"/>
    <w:rsid w:val="00F83C0D"/>
    <w:rsid w:val="00F90C08"/>
    <w:rsid w:val="00F9656B"/>
    <w:rsid w:val="00F9772C"/>
    <w:rsid w:val="00FA0DA7"/>
    <w:rsid w:val="00FA457A"/>
    <w:rsid w:val="00FB2654"/>
    <w:rsid w:val="00FD417B"/>
    <w:rsid w:val="00FE1D64"/>
    <w:rsid w:val="00FF1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8A10"/>
  <w15:docId w15:val="{2FF50008-7654-4C2D-B670-38B5DA6E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36"/>
  </w:style>
  <w:style w:type="paragraph" w:styleId="Heading1">
    <w:name w:val="heading 1"/>
    <w:basedOn w:val="Normal"/>
    <w:next w:val="Normal"/>
    <w:link w:val="Heading1Char"/>
    <w:uiPriority w:val="9"/>
    <w:qFormat/>
    <w:rsid w:val="005243D8"/>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7B81"/>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44E0"/>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43D8"/>
    <w:rPr>
      <w:rFonts w:eastAsiaTheme="majorEastAsia" w:cstheme="majorBidi"/>
      <w:b/>
      <w:bCs/>
      <w:color w:val="365F91" w:themeColor="accent1" w:themeShade="BF"/>
      <w:sz w:val="28"/>
      <w:szCs w:val="28"/>
    </w:rPr>
  </w:style>
  <w:style w:type="character" w:styleId="Hyperlink">
    <w:name w:val="Hyperlink"/>
    <w:basedOn w:val="DefaultParagraphFont"/>
    <w:uiPriority w:val="99"/>
    <w:unhideWhenUsed/>
    <w:rsid w:val="00AB59BD"/>
    <w:rPr>
      <w:color w:val="0000FF" w:themeColor="hyperlink"/>
      <w:u w:val="single"/>
    </w:rPr>
  </w:style>
  <w:style w:type="character" w:styleId="FollowedHyperlink">
    <w:name w:val="FollowedHyperlink"/>
    <w:basedOn w:val="DefaultParagraphFont"/>
    <w:uiPriority w:val="99"/>
    <w:semiHidden/>
    <w:unhideWhenUsed/>
    <w:rsid w:val="0028039C"/>
    <w:rPr>
      <w:color w:val="800080" w:themeColor="followedHyperlink"/>
      <w:u w:val="single"/>
    </w:rPr>
  </w:style>
  <w:style w:type="character" w:styleId="CommentReference">
    <w:name w:val="annotation reference"/>
    <w:basedOn w:val="DefaultParagraphFont"/>
    <w:uiPriority w:val="99"/>
    <w:semiHidden/>
    <w:unhideWhenUsed/>
    <w:rsid w:val="00241FCA"/>
    <w:rPr>
      <w:sz w:val="16"/>
      <w:szCs w:val="16"/>
    </w:rPr>
  </w:style>
  <w:style w:type="paragraph" w:styleId="CommentText">
    <w:name w:val="annotation text"/>
    <w:basedOn w:val="Normal"/>
    <w:link w:val="CommentTextChar"/>
    <w:uiPriority w:val="99"/>
    <w:semiHidden/>
    <w:unhideWhenUsed/>
    <w:rsid w:val="00241FCA"/>
    <w:rPr>
      <w:sz w:val="20"/>
      <w:szCs w:val="20"/>
    </w:rPr>
  </w:style>
  <w:style w:type="character" w:customStyle="1" w:styleId="CommentTextChar">
    <w:name w:val="Comment Text Char"/>
    <w:basedOn w:val="DefaultParagraphFont"/>
    <w:link w:val="CommentText"/>
    <w:uiPriority w:val="99"/>
    <w:semiHidden/>
    <w:rsid w:val="00241FC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41FCA"/>
    <w:rPr>
      <w:b/>
      <w:bCs/>
    </w:rPr>
  </w:style>
  <w:style w:type="character" w:customStyle="1" w:styleId="CommentSubjectChar">
    <w:name w:val="Comment Subject Char"/>
    <w:basedOn w:val="CommentTextChar"/>
    <w:link w:val="CommentSubject"/>
    <w:uiPriority w:val="99"/>
    <w:semiHidden/>
    <w:rsid w:val="00241FCA"/>
    <w:rPr>
      <w:rFonts w:eastAsia="Times New Roman"/>
      <w:b/>
      <w:bCs/>
      <w:sz w:val="20"/>
      <w:szCs w:val="20"/>
    </w:rPr>
  </w:style>
  <w:style w:type="character" w:customStyle="1" w:styleId="Heading2Char">
    <w:name w:val="Heading 2 Char"/>
    <w:basedOn w:val="DefaultParagraphFont"/>
    <w:link w:val="Heading2"/>
    <w:uiPriority w:val="9"/>
    <w:semiHidden/>
    <w:rsid w:val="00C57B81"/>
    <w:rPr>
      <w:rFonts w:eastAsiaTheme="majorEastAsia" w:cstheme="majorBidi"/>
      <w:b/>
      <w:bCs/>
      <w:color w:val="4F81BD" w:themeColor="accent1"/>
      <w:sz w:val="26"/>
      <w:szCs w:val="26"/>
    </w:rPr>
  </w:style>
  <w:style w:type="paragraph" w:styleId="Revision">
    <w:name w:val="Revision"/>
    <w:hidden/>
    <w:uiPriority w:val="99"/>
    <w:semiHidden/>
    <w:rsid w:val="00D1264F"/>
    <w:rPr>
      <w:rFonts w:eastAsia="Times New Roman"/>
    </w:rPr>
  </w:style>
  <w:style w:type="paragraph" w:styleId="BalloonText">
    <w:name w:val="Balloon Text"/>
    <w:basedOn w:val="Normal"/>
    <w:link w:val="BalloonTextChar"/>
    <w:uiPriority w:val="99"/>
    <w:semiHidden/>
    <w:unhideWhenUsed/>
    <w:rsid w:val="00AC0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409"/>
    <w:rPr>
      <w:rFonts w:ascii="Segoe UI" w:hAnsi="Segoe UI" w:cs="Segoe UI"/>
      <w:sz w:val="18"/>
      <w:szCs w:val="18"/>
    </w:rPr>
  </w:style>
  <w:style w:type="character" w:styleId="UnresolvedMention">
    <w:name w:val="Unresolved Mention"/>
    <w:basedOn w:val="DefaultParagraphFont"/>
    <w:uiPriority w:val="99"/>
    <w:semiHidden/>
    <w:unhideWhenUsed/>
    <w:rsid w:val="00E557A1"/>
    <w:rPr>
      <w:color w:val="605E5C"/>
      <w:shd w:val="clear" w:color="auto" w:fill="E1DFDD"/>
    </w:rPr>
  </w:style>
  <w:style w:type="paragraph" w:styleId="ListParagraph">
    <w:name w:val="List Paragraph"/>
    <w:basedOn w:val="Normal"/>
    <w:uiPriority w:val="34"/>
    <w:qFormat/>
    <w:rsid w:val="00865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856794">
      <w:bodyDiv w:val="1"/>
      <w:marLeft w:val="0"/>
      <w:marRight w:val="0"/>
      <w:marTop w:val="0"/>
      <w:marBottom w:val="0"/>
      <w:divBdr>
        <w:top w:val="none" w:sz="0" w:space="0" w:color="auto"/>
        <w:left w:val="none" w:sz="0" w:space="0" w:color="auto"/>
        <w:bottom w:val="none" w:sz="0" w:space="0" w:color="auto"/>
        <w:right w:val="none" w:sz="0" w:space="0" w:color="auto"/>
      </w:divBdr>
    </w:div>
    <w:div w:id="1575161683">
      <w:bodyDiv w:val="1"/>
      <w:marLeft w:val="0"/>
      <w:marRight w:val="0"/>
      <w:marTop w:val="0"/>
      <w:marBottom w:val="0"/>
      <w:divBdr>
        <w:top w:val="none" w:sz="0" w:space="0" w:color="auto"/>
        <w:left w:val="none" w:sz="0" w:space="0" w:color="auto"/>
        <w:bottom w:val="none" w:sz="0" w:space="0" w:color="auto"/>
        <w:right w:val="none" w:sz="0" w:space="0" w:color="auto"/>
      </w:divBdr>
    </w:div>
    <w:div w:id="1697534784">
      <w:bodyDiv w:val="1"/>
      <w:marLeft w:val="0"/>
      <w:marRight w:val="0"/>
      <w:marTop w:val="0"/>
      <w:marBottom w:val="0"/>
      <w:divBdr>
        <w:top w:val="none" w:sz="0" w:space="0" w:color="auto"/>
        <w:left w:val="none" w:sz="0" w:space="0" w:color="auto"/>
        <w:bottom w:val="none" w:sz="0" w:space="0" w:color="auto"/>
        <w:right w:val="none" w:sz="0" w:space="0" w:color="auto"/>
      </w:divBdr>
    </w:div>
    <w:div w:id="19041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99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kii.lv/uploads/files/EKII/EKII3/EKII_03_jautajumi_atbild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FAB96-04CD-4CB7-9600-E76456E8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8</Pages>
  <Words>15198</Words>
  <Characters>8664</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Gints Kārkliņš</dc:creator>
  <cp:lastModifiedBy>Gints Kārkliņš</cp:lastModifiedBy>
  <cp:revision>18</cp:revision>
  <cp:lastPrinted>2018-08-29T12:50:00Z</cp:lastPrinted>
  <dcterms:created xsi:type="dcterms:W3CDTF">2024-08-01T10:37:00Z</dcterms:created>
  <dcterms:modified xsi:type="dcterms:W3CDTF">2024-09-12T15:11:00Z</dcterms:modified>
</cp:coreProperties>
</file>