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F580" w14:textId="77777777" w:rsidR="00AB59BD" w:rsidRPr="00AB59BD" w:rsidRDefault="00AB59BD" w:rsidP="00AB59BD">
      <w:pPr>
        <w:jc w:val="center"/>
        <w:rPr>
          <w:b/>
        </w:rPr>
      </w:pPr>
      <w:r w:rsidRPr="00AB59BD">
        <w:rPr>
          <w:b/>
        </w:rPr>
        <w:t>Atbildes uz uzdotajiem jautājumiem par</w:t>
      </w:r>
    </w:p>
    <w:p w14:paraId="4BA41B06" w14:textId="77777777" w:rsidR="00AB59BD" w:rsidRPr="00AB59BD" w:rsidRDefault="00AB59BD" w:rsidP="00AB59BD">
      <w:pPr>
        <w:jc w:val="center"/>
        <w:rPr>
          <w:b/>
        </w:rPr>
      </w:pPr>
      <w:r w:rsidRPr="00AB59BD">
        <w:rPr>
          <w:b/>
        </w:rPr>
        <w:t>Emisijas kvotu izsolīšanas instrumenta finansēto projektu atklāta konkursu</w:t>
      </w:r>
    </w:p>
    <w:p w14:paraId="71AD81C1" w14:textId="1AA38FC0" w:rsidR="00AB59BD" w:rsidRPr="00AB59BD" w:rsidRDefault="00AB59BD" w:rsidP="00AB59BD">
      <w:pPr>
        <w:jc w:val="center"/>
        <w:rPr>
          <w:b/>
        </w:rPr>
      </w:pPr>
      <w:r w:rsidRPr="00AB59BD">
        <w:rPr>
          <w:b/>
        </w:rPr>
        <w:t>"</w:t>
      </w:r>
      <w:r w:rsidR="00C57B81" w:rsidRPr="00C57B81">
        <w:rPr>
          <w:b/>
        </w:rPr>
        <w:t>Siltumnīcefekta gāzu emisiju samazināšana – zema enerģijas patēriņa ēkas</w:t>
      </w:r>
      <w:r w:rsidRPr="00AB59BD">
        <w:rPr>
          <w:b/>
        </w:rPr>
        <w:t>"</w:t>
      </w:r>
    </w:p>
    <w:p w14:paraId="2857BB61" w14:textId="77777777" w:rsidR="00AB59BD" w:rsidRPr="00B3390A" w:rsidRDefault="00AB59BD" w:rsidP="00AB59BD"/>
    <w:p w14:paraId="48BC523A" w14:textId="77777777" w:rsidR="00AB59BD" w:rsidRPr="00AB59BD" w:rsidRDefault="00AB59BD" w:rsidP="00AB59BD">
      <w:pPr>
        <w:rPr>
          <w:i/>
        </w:rPr>
      </w:pPr>
      <w:r w:rsidRPr="00AB59BD">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AB59BD" w:rsidRPr="00AB59BD" w14:paraId="7F0F1678" w14:textId="77777777" w:rsidTr="00AB59BD">
        <w:tc>
          <w:tcPr>
            <w:tcW w:w="2290" w:type="dxa"/>
          </w:tcPr>
          <w:p w14:paraId="7BAB5AAD" w14:textId="77777777" w:rsidR="00AB59BD" w:rsidRPr="00AB59BD" w:rsidRDefault="00AB59BD" w:rsidP="00F87C4A">
            <w:pPr>
              <w:rPr>
                <w:b/>
                <w:sz w:val="20"/>
                <w:szCs w:val="20"/>
              </w:rPr>
            </w:pPr>
            <w:r w:rsidRPr="00AB59BD">
              <w:rPr>
                <w:b/>
                <w:sz w:val="20"/>
                <w:szCs w:val="20"/>
              </w:rPr>
              <w:t>ES</w:t>
            </w:r>
          </w:p>
        </w:tc>
        <w:tc>
          <w:tcPr>
            <w:tcW w:w="12336" w:type="dxa"/>
          </w:tcPr>
          <w:p w14:paraId="77C2965B" w14:textId="77777777" w:rsidR="00AB59BD" w:rsidRPr="00AB59BD" w:rsidRDefault="00AB59BD" w:rsidP="00F87C4A">
            <w:pPr>
              <w:rPr>
                <w:sz w:val="20"/>
                <w:szCs w:val="20"/>
              </w:rPr>
            </w:pPr>
            <w:r w:rsidRPr="00AB59BD">
              <w:rPr>
                <w:sz w:val="20"/>
                <w:szCs w:val="20"/>
              </w:rPr>
              <w:t>Eiropas Savienība</w:t>
            </w:r>
          </w:p>
        </w:tc>
      </w:tr>
      <w:tr w:rsidR="00AB59BD" w:rsidRPr="00AB59BD" w14:paraId="450A6679" w14:textId="77777777" w:rsidTr="00AB59BD">
        <w:tc>
          <w:tcPr>
            <w:tcW w:w="2290" w:type="dxa"/>
          </w:tcPr>
          <w:p w14:paraId="00DDEBB7" w14:textId="77777777" w:rsidR="00AB59BD" w:rsidRPr="00AB59BD" w:rsidRDefault="00AB59BD" w:rsidP="00B62CF1">
            <w:pPr>
              <w:rPr>
                <w:b/>
                <w:sz w:val="20"/>
                <w:szCs w:val="20"/>
              </w:rPr>
            </w:pPr>
            <w:r w:rsidRPr="00AB59BD">
              <w:rPr>
                <w:b/>
                <w:sz w:val="20"/>
                <w:szCs w:val="20"/>
              </w:rPr>
              <w:t>VARAM</w:t>
            </w:r>
          </w:p>
        </w:tc>
        <w:tc>
          <w:tcPr>
            <w:tcW w:w="12336" w:type="dxa"/>
          </w:tcPr>
          <w:p w14:paraId="5CA8712B" w14:textId="77777777" w:rsidR="00AB59BD" w:rsidRPr="00AB59BD" w:rsidRDefault="00AB59BD" w:rsidP="00B62CF1">
            <w:pPr>
              <w:rPr>
                <w:sz w:val="20"/>
                <w:szCs w:val="20"/>
              </w:rPr>
            </w:pPr>
            <w:r w:rsidRPr="00AB59BD">
              <w:rPr>
                <w:sz w:val="20"/>
                <w:szCs w:val="20"/>
              </w:rPr>
              <w:t>Vides aizsardzības un reģionālās attīstības ministrija</w:t>
            </w:r>
          </w:p>
        </w:tc>
      </w:tr>
      <w:tr w:rsidR="00AB59BD" w:rsidRPr="00AB59BD" w14:paraId="06930519" w14:textId="77777777" w:rsidTr="00983322">
        <w:tc>
          <w:tcPr>
            <w:tcW w:w="2290" w:type="dxa"/>
          </w:tcPr>
          <w:p w14:paraId="3B0A0BD2" w14:textId="77777777" w:rsidR="00AB59BD" w:rsidRPr="00AB59BD" w:rsidRDefault="00AB59BD" w:rsidP="00983322">
            <w:pPr>
              <w:rPr>
                <w:b/>
                <w:sz w:val="20"/>
                <w:szCs w:val="20"/>
              </w:rPr>
            </w:pPr>
            <w:r w:rsidRPr="00AB59BD">
              <w:rPr>
                <w:b/>
                <w:sz w:val="20"/>
                <w:szCs w:val="20"/>
              </w:rPr>
              <w:t>LVIF</w:t>
            </w:r>
          </w:p>
        </w:tc>
        <w:tc>
          <w:tcPr>
            <w:tcW w:w="12336" w:type="dxa"/>
          </w:tcPr>
          <w:p w14:paraId="0B74454B" w14:textId="77777777" w:rsidR="00AB59BD" w:rsidRPr="00AB59BD" w:rsidRDefault="00AB59BD" w:rsidP="00983322">
            <w:pPr>
              <w:rPr>
                <w:sz w:val="20"/>
                <w:szCs w:val="20"/>
              </w:rPr>
            </w:pPr>
            <w:r w:rsidRPr="00AB59BD">
              <w:rPr>
                <w:sz w:val="20"/>
                <w:szCs w:val="20"/>
              </w:rPr>
              <w:t>Valsts sabiedrība ar ierobežotu atbildību „Vides investīciju fonds”</w:t>
            </w:r>
          </w:p>
        </w:tc>
      </w:tr>
      <w:tr w:rsidR="00AB59BD" w:rsidRPr="00AB59BD" w14:paraId="7C49E556" w14:textId="77777777" w:rsidTr="00AB59BD">
        <w:tc>
          <w:tcPr>
            <w:tcW w:w="2290" w:type="dxa"/>
          </w:tcPr>
          <w:p w14:paraId="5137420F" w14:textId="77777777" w:rsidR="00AB59BD" w:rsidRPr="00AB59BD" w:rsidRDefault="00AB59BD" w:rsidP="00F87C4A">
            <w:pPr>
              <w:rPr>
                <w:b/>
                <w:sz w:val="20"/>
                <w:szCs w:val="20"/>
              </w:rPr>
            </w:pPr>
            <w:r w:rsidRPr="00AB59BD">
              <w:rPr>
                <w:b/>
                <w:sz w:val="20"/>
                <w:szCs w:val="20"/>
              </w:rPr>
              <w:t>EKII</w:t>
            </w:r>
          </w:p>
        </w:tc>
        <w:tc>
          <w:tcPr>
            <w:tcW w:w="12336" w:type="dxa"/>
          </w:tcPr>
          <w:p w14:paraId="4FEE1935" w14:textId="77777777" w:rsidR="00AB59BD" w:rsidRPr="00AB59BD" w:rsidRDefault="00AB59BD" w:rsidP="00F87C4A">
            <w:pPr>
              <w:rPr>
                <w:sz w:val="20"/>
                <w:szCs w:val="20"/>
              </w:rPr>
            </w:pPr>
            <w:r w:rsidRPr="00AB59BD">
              <w:rPr>
                <w:sz w:val="20"/>
                <w:szCs w:val="20"/>
              </w:rPr>
              <w:t>Emisijas kvotu izsolīšanas instruments (turpmāk tekstā arī – finanšu instruments)</w:t>
            </w:r>
          </w:p>
        </w:tc>
      </w:tr>
      <w:tr w:rsidR="00AB59BD" w:rsidRPr="00AB59BD" w14:paraId="35574A43" w14:textId="77777777" w:rsidTr="00AB59BD">
        <w:tc>
          <w:tcPr>
            <w:tcW w:w="2290" w:type="dxa"/>
          </w:tcPr>
          <w:p w14:paraId="39F00157" w14:textId="77777777" w:rsidR="00AB59BD" w:rsidRPr="00AB59BD" w:rsidRDefault="00AB59BD" w:rsidP="00F87C4A">
            <w:pPr>
              <w:rPr>
                <w:b/>
                <w:sz w:val="20"/>
                <w:szCs w:val="20"/>
              </w:rPr>
            </w:pPr>
            <w:r w:rsidRPr="00AB59BD">
              <w:rPr>
                <w:b/>
                <w:sz w:val="20"/>
                <w:szCs w:val="20"/>
              </w:rPr>
              <w:t>MK</w:t>
            </w:r>
          </w:p>
        </w:tc>
        <w:tc>
          <w:tcPr>
            <w:tcW w:w="12336" w:type="dxa"/>
          </w:tcPr>
          <w:p w14:paraId="47702C10" w14:textId="77777777" w:rsidR="00AB59BD" w:rsidRPr="00AB59BD" w:rsidRDefault="00AB59BD" w:rsidP="00F87C4A">
            <w:pPr>
              <w:rPr>
                <w:sz w:val="20"/>
                <w:szCs w:val="20"/>
              </w:rPr>
            </w:pPr>
            <w:r w:rsidRPr="00AB59BD">
              <w:rPr>
                <w:sz w:val="20"/>
                <w:szCs w:val="20"/>
              </w:rPr>
              <w:t>Ministru kabinets</w:t>
            </w:r>
          </w:p>
        </w:tc>
      </w:tr>
      <w:tr w:rsidR="00AB59BD" w:rsidRPr="00AB59BD" w14:paraId="0941F568" w14:textId="77777777" w:rsidTr="00AB59BD">
        <w:tc>
          <w:tcPr>
            <w:tcW w:w="2290" w:type="dxa"/>
          </w:tcPr>
          <w:p w14:paraId="70C8CE1E" w14:textId="45DA8E2D" w:rsidR="00AB59BD" w:rsidRPr="00AB59BD" w:rsidRDefault="00AB59BD" w:rsidP="00C57B81">
            <w:pPr>
              <w:rPr>
                <w:b/>
                <w:sz w:val="20"/>
                <w:szCs w:val="20"/>
              </w:rPr>
            </w:pPr>
            <w:r w:rsidRPr="00AB59BD">
              <w:rPr>
                <w:b/>
                <w:sz w:val="20"/>
                <w:szCs w:val="20"/>
              </w:rPr>
              <w:t>MK noteikumi Nr.</w:t>
            </w:r>
            <w:r w:rsidR="00C57B81">
              <w:rPr>
                <w:b/>
                <w:sz w:val="20"/>
                <w:szCs w:val="20"/>
              </w:rPr>
              <w:t>69</w:t>
            </w:r>
          </w:p>
        </w:tc>
        <w:tc>
          <w:tcPr>
            <w:tcW w:w="12336" w:type="dxa"/>
          </w:tcPr>
          <w:p w14:paraId="629856AC" w14:textId="18519A87" w:rsidR="00AB59BD" w:rsidRPr="00AB59BD" w:rsidRDefault="00AB59BD" w:rsidP="00C57B81">
            <w:pPr>
              <w:rPr>
                <w:sz w:val="20"/>
                <w:szCs w:val="20"/>
              </w:rPr>
            </w:pPr>
            <w:r w:rsidRPr="00AB59BD">
              <w:rPr>
                <w:sz w:val="20"/>
                <w:szCs w:val="20"/>
              </w:rPr>
              <w:t xml:space="preserve">Ministru kabineta 2016.gada </w:t>
            </w:r>
            <w:r w:rsidR="00C57B81">
              <w:rPr>
                <w:sz w:val="20"/>
                <w:szCs w:val="20"/>
              </w:rPr>
              <w:t>26</w:t>
            </w:r>
            <w:r w:rsidRPr="00AB59BD">
              <w:rPr>
                <w:sz w:val="20"/>
                <w:szCs w:val="20"/>
              </w:rPr>
              <w:t>.janvāra noteikumi Nr.</w:t>
            </w:r>
            <w:r w:rsidR="00C57B81">
              <w:rPr>
                <w:sz w:val="20"/>
                <w:szCs w:val="20"/>
              </w:rPr>
              <w:t>69</w:t>
            </w:r>
            <w:r w:rsidRPr="00AB59BD">
              <w:rPr>
                <w:sz w:val="20"/>
                <w:szCs w:val="20"/>
              </w:rPr>
              <w:t xml:space="preserve"> „Emisijas kvotu izsolīšanas instrumenta finansēto projektu atklāta konkursa „</w:t>
            </w:r>
            <w:r w:rsidR="00C57B81" w:rsidRPr="00C57B81">
              <w:rPr>
                <w:sz w:val="20"/>
                <w:szCs w:val="20"/>
              </w:rPr>
              <w:t>Siltumnīcefekta gāzu emisiju samazināšana – zema enerģijas patēriņa ēkas</w:t>
            </w:r>
            <w:r w:rsidRPr="00AB59BD">
              <w:rPr>
                <w:sz w:val="20"/>
                <w:szCs w:val="20"/>
              </w:rPr>
              <w:t xml:space="preserve">” nolikums”. </w:t>
            </w:r>
            <w:hyperlink r:id="rId9" w:history="1">
              <w:r w:rsidR="00C57B81" w:rsidRPr="00725846">
                <w:rPr>
                  <w:rStyle w:val="Hyperlink"/>
                  <w:sz w:val="20"/>
                  <w:szCs w:val="20"/>
                </w:rPr>
                <w:t>http://likumi.lv/ta/id/280234</w:t>
              </w:r>
            </w:hyperlink>
            <w:r>
              <w:rPr>
                <w:sz w:val="20"/>
                <w:szCs w:val="20"/>
              </w:rPr>
              <w:t xml:space="preserve"> </w:t>
            </w:r>
          </w:p>
        </w:tc>
      </w:tr>
      <w:tr w:rsidR="00AB59BD" w:rsidRPr="00AB59BD" w14:paraId="1460E9AD" w14:textId="77777777" w:rsidTr="00415BE0">
        <w:tc>
          <w:tcPr>
            <w:tcW w:w="2290" w:type="dxa"/>
          </w:tcPr>
          <w:p w14:paraId="42703FFE" w14:textId="77777777" w:rsidR="00AB59BD" w:rsidRPr="00AB59BD" w:rsidRDefault="00AB59BD" w:rsidP="00415BE0">
            <w:pPr>
              <w:rPr>
                <w:b/>
                <w:sz w:val="20"/>
                <w:szCs w:val="20"/>
              </w:rPr>
            </w:pPr>
            <w:r w:rsidRPr="00AB59BD">
              <w:rPr>
                <w:b/>
                <w:sz w:val="20"/>
                <w:szCs w:val="20"/>
              </w:rPr>
              <w:t>CO</w:t>
            </w:r>
            <w:r w:rsidRPr="00AB59BD">
              <w:rPr>
                <w:b/>
                <w:sz w:val="20"/>
                <w:szCs w:val="20"/>
                <w:vertAlign w:val="subscript"/>
              </w:rPr>
              <w:t>2</w:t>
            </w:r>
          </w:p>
        </w:tc>
        <w:tc>
          <w:tcPr>
            <w:tcW w:w="12336" w:type="dxa"/>
          </w:tcPr>
          <w:p w14:paraId="6753C95D" w14:textId="77777777" w:rsidR="00AB59BD" w:rsidRPr="00AB59BD" w:rsidRDefault="00AB59BD" w:rsidP="00415BE0">
            <w:pPr>
              <w:rPr>
                <w:sz w:val="20"/>
                <w:szCs w:val="20"/>
              </w:rPr>
            </w:pPr>
            <w:r w:rsidRPr="00AB59BD">
              <w:rPr>
                <w:sz w:val="20"/>
                <w:szCs w:val="20"/>
              </w:rPr>
              <w:t>Oglekļa dioksīds</w:t>
            </w:r>
          </w:p>
        </w:tc>
      </w:tr>
      <w:tr w:rsidR="00AB59BD" w:rsidRPr="00AB59BD" w14:paraId="51FB5DEC" w14:textId="77777777" w:rsidTr="00AB59BD">
        <w:tc>
          <w:tcPr>
            <w:tcW w:w="2290" w:type="dxa"/>
          </w:tcPr>
          <w:p w14:paraId="64F1531C" w14:textId="77777777" w:rsidR="00AB59BD" w:rsidRPr="00AB59BD" w:rsidRDefault="00AB59BD" w:rsidP="00F87C4A">
            <w:pPr>
              <w:rPr>
                <w:b/>
                <w:sz w:val="20"/>
                <w:szCs w:val="20"/>
              </w:rPr>
            </w:pPr>
            <w:r w:rsidRPr="00AB59BD">
              <w:rPr>
                <w:b/>
                <w:sz w:val="20"/>
                <w:szCs w:val="20"/>
              </w:rPr>
              <w:t>N/A</w:t>
            </w:r>
          </w:p>
        </w:tc>
        <w:tc>
          <w:tcPr>
            <w:tcW w:w="12336" w:type="dxa"/>
          </w:tcPr>
          <w:p w14:paraId="190E3B08" w14:textId="77777777" w:rsidR="00AB59BD" w:rsidRPr="00AB59BD" w:rsidRDefault="00AB59BD" w:rsidP="00F87C4A">
            <w:pPr>
              <w:rPr>
                <w:sz w:val="20"/>
                <w:szCs w:val="20"/>
              </w:rPr>
            </w:pPr>
            <w:r w:rsidRPr="00AB59BD">
              <w:rPr>
                <w:sz w:val="20"/>
                <w:szCs w:val="20"/>
              </w:rPr>
              <w:t>Nav attiecināms</w:t>
            </w:r>
          </w:p>
        </w:tc>
      </w:tr>
    </w:tbl>
    <w:p w14:paraId="334F1388" w14:textId="77777777" w:rsidR="00AB59BD" w:rsidRPr="00B3390A" w:rsidRDefault="00AB59BD" w:rsidP="00AB59BD"/>
    <w:tbl>
      <w:tblPr>
        <w:tblStyle w:val="TableGrid"/>
        <w:tblW w:w="5000" w:type="pct"/>
        <w:tblLayout w:type="fixed"/>
        <w:tblCellMar>
          <w:left w:w="28" w:type="dxa"/>
          <w:right w:w="28" w:type="dxa"/>
        </w:tblCellMar>
        <w:tblLook w:val="04A0" w:firstRow="1" w:lastRow="0" w:firstColumn="1" w:lastColumn="0" w:noHBand="0" w:noVBand="1"/>
      </w:tblPr>
      <w:tblGrid>
        <w:gridCol w:w="645"/>
        <w:gridCol w:w="6754"/>
        <w:gridCol w:w="7227"/>
      </w:tblGrid>
      <w:tr w:rsidR="00AB59BD" w:rsidRPr="00AB59BD" w14:paraId="7DE983CE" w14:textId="77777777" w:rsidTr="00F6138F">
        <w:trPr>
          <w:cantSplit/>
          <w:tblHeader/>
        </w:trPr>
        <w:tc>
          <w:tcPr>
            <w:tcW w:w="645" w:type="dxa"/>
            <w:shd w:val="clear" w:color="auto" w:fill="C2D69B" w:themeFill="accent3" w:themeFillTint="99"/>
            <w:vAlign w:val="center"/>
          </w:tcPr>
          <w:p w14:paraId="7BAD185A" w14:textId="77777777" w:rsidR="00AB59BD" w:rsidRPr="00AB59BD" w:rsidRDefault="00AB59BD" w:rsidP="00AB59BD">
            <w:pPr>
              <w:jc w:val="center"/>
              <w:rPr>
                <w:rFonts w:ascii="Times New Roman" w:hAnsi="Times New Roman"/>
                <w:b/>
                <w:sz w:val="22"/>
              </w:rPr>
            </w:pPr>
            <w:r w:rsidRPr="00AB59BD">
              <w:rPr>
                <w:rFonts w:ascii="Times New Roman" w:hAnsi="Times New Roman"/>
                <w:b/>
                <w:sz w:val="22"/>
              </w:rPr>
              <w:t>Nr.p.k.</w:t>
            </w:r>
          </w:p>
        </w:tc>
        <w:tc>
          <w:tcPr>
            <w:tcW w:w="6754" w:type="dxa"/>
            <w:shd w:val="clear" w:color="auto" w:fill="C2D69B" w:themeFill="accent3" w:themeFillTint="99"/>
            <w:vAlign w:val="center"/>
          </w:tcPr>
          <w:p w14:paraId="3A8C2DA1" w14:textId="77777777" w:rsidR="00AB59BD" w:rsidRPr="00AB59BD" w:rsidRDefault="00AB59BD" w:rsidP="00F87C4A">
            <w:pPr>
              <w:rPr>
                <w:rFonts w:ascii="Times New Roman" w:hAnsi="Times New Roman"/>
                <w:b/>
                <w:sz w:val="22"/>
              </w:rPr>
            </w:pPr>
            <w:r w:rsidRPr="00AB59BD">
              <w:rPr>
                <w:rFonts w:ascii="Times New Roman" w:hAnsi="Times New Roman"/>
                <w:b/>
                <w:sz w:val="22"/>
              </w:rPr>
              <w:t>Jautājums</w:t>
            </w:r>
          </w:p>
        </w:tc>
        <w:tc>
          <w:tcPr>
            <w:tcW w:w="7227" w:type="dxa"/>
            <w:shd w:val="clear" w:color="auto" w:fill="C2D69B" w:themeFill="accent3" w:themeFillTint="99"/>
            <w:vAlign w:val="center"/>
          </w:tcPr>
          <w:p w14:paraId="2EBF59EC" w14:textId="77777777" w:rsidR="00AB59BD" w:rsidRPr="00AB59BD" w:rsidRDefault="00AB59BD" w:rsidP="00F87C4A">
            <w:pPr>
              <w:rPr>
                <w:rFonts w:ascii="Times New Roman" w:hAnsi="Times New Roman"/>
                <w:b/>
                <w:sz w:val="22"/>
              </w:rPr>
            </w:pPr>
            <w:r w:rsidRPr="00AB59BD">
              <w:rPr>
                <w:rFonts w:ascii="Times New Roman" w:hAnsi="Times New Roman"/>
                <w:b/>
                <w:sz w:val="22"/>
              </w:rPr>
              <w:t>Atbilde</w:t>
            </w:r>
          </w:p>
        </w:tc>
      </w:tr>
      <w:tr w:rsidR="00AB59BD" w:rsidRPr="00C20964" w14:paraId="5914A9C3" w14:textId="77777777" w:rsidTr="00F6138F">
        <w:trPr>
          <w:cantSplit/>
        </w:trPr>
        <w:tc>
          <w:tcPr>
            <w:tcW w:w="645" w:type="dxa"/>
          </w:tcPr>
          <w:p w14:paraId="02726436" w14:textId="77777777" w:rsidR="00AB59BD" w:rsidRPr="00C20964" w:rsidRDefault="00AB59BD" w:rsidP="00AB59BD">
            <w:pPr>
              <w:jc w:val="center"/>
              <w:rPr>
                <w:rFonts w:ascii="Times New Roman" w:hAnsi="Times New Roman"/>
                <w:sz w:val="22"/>
              </w:rPr>
            </w:pPr>
            <w:r w:rsidRPr="00C20964">
              <w:rPr>
                <w:rFonts w:ascii="Times New Roman" w:hAnsi="Times New Roman"/>
                <w:sz w:val="22"/>
              </w:rPr>
              <w:t>1.</w:t>
            </w:r>
          </w:p>
        </w:tc>
        <w:tc>
          <w:tcPr>
            <w:tcW w:w="6754" w:type="dxa"/>
          </w:tcPr>
          <w:p w14:paraId="26C5715E" w14:textId="77777777" w:rsidR="00C57B81" w:rsidRPr="00C20964" w:rsidRDefault="00C57B81" w:rsidP="00C57B81">
            <w:pPr>
              <w:autoSpaceDE w:val="0"/>
              <w:autoSpaceDN w:val="0"/>
              <w:rPr>
                <w:rFonts w:ascii="Times New Roman" w:hAnsi="Times New Roman"/>
                <w:color w:val="414142"/>
                <w:sz w:val="22"/>
              </w:rPr>
            </w:pPr>
            <w:r w:rsidRPr="00C20964">
              <w:rPr>
                <w:rFonts w:ascii="Times New Roman" w:hAnsi="Times New Roman"/>
                <w:sz w:val="22"/>
              </w:rPr>
              <w:t>MK noteikumu 24. punktā noteikts, ka:</w:t>
            </w:r>
            <w:proofErr w:type="gramStart"/>
            <w:r w:rsidRPr="00C20964">
              <w:rPr>
                <w:rFonts w:ascii="Times New Roman" w:hAnsi="Times New Roman"/>
                <w:sz w:val="22"/>
              </w:rPr>
              <w:t xml:space="preserve"> ,,</w:t>
            </w:r>
            <w:proofErr w:type="gramEnd"/>
            <w:r w:rsidRPr="00C20964">
              <w:rPr>
                <w:rFonts w:ascii="Times New Roman" w:hAnsi="Times New Roman"/>
                <w:sz w:val="22"/>
              </w:rPr>
              <w:t>Konkursa ietvaros vienam projektam pieejamais finanšu instrumenta finansējums:</w:t>
            </w:r>
          </w:p>
          <w:p w14:paraId="7F9ADE30" w14:textId="77777777" w:rsidR="00C57B81" w:rsidRPr="00C20964" w:rsidRDefault="00C57B81" w:rsidP="00C57B81">
            <w:pPr>
              <w:jc w:val="both"/>
              <w:rPr>
                <w:rFonts w:ascii="Times New Roman" w:hAnsi="Times New Roman"/>
                <w:b/>
                <w:bCs/>
                <w:sz w:val="22"/>
              </w:rPr>
            </w:pPr>
            <w:r w:rsidRPr="00C20964">
              <w:rPr>
                <w:rFonts w:ascii="Times New Roman" w:hAnsi="Times New Roman"/>
                <w:sz w:val="22"/>
              </w:rPr>
              <w:t xml:space="preserve">…esošu ēku pārbūvei vai atjaunošanai par zema enerģijas patēriņa ēkām ir no 400 000 </w:t>
            </w:r>
            <w:r w:rsidRPr="00C20964">
              <w:rPr>
                <w:rFonts w:ascii="Times New Roman" w:hAnsi="Times New Roman"/>
                <w:i/>
                <w:iCs/>
                <w:sz w:val="22"/>
              </w:rPr>
              <w:t xml:space="preserve">euro </w:t>
            </w:r>
            <w:r w:rsidRPr="00C20964">
              <w:rPr>
                <w:rFonts w:ascii="Times New Roman" w:hAnsi="Times New Roman"/>
                <w:sz w:val="22"/>
              </w:rPr>
              <w:t xml:space="preserve">(ieskaitot) līdz 2 000 000 </w:t>
            </w:r>
            <w:r w:rsidRPr="00C20964">
              <w:rPr>
                <w:rFonts w:ascii="Times New Roman" w:hAnsi="Times New Roman"/>
                <w:i/>
                <w:iCs/>
                <w:sz w:val="22"/>
              </w:rPr>
              <w:t xml:space="preserve">euro </w:t>
            </w:r>
            <w:r w:rsidRPr="00C20964">
              <w:rPr>
                <w:rFonts w:ascii="Times New Roman" w:hAnsi="Times New Roman"/>
                <w:sz w:val="22"/>
              </w:rPr>
              <w:t>(ieskaitot)”</w:t>
            </w:r>
          </w:p>
          <w:p w14:paraId="6E334A81" w14:textId="734ADCBB" w:rsidR="00AB59BD" w:rsidRPr="00C20964" w:rsidRDefault="00C57B81" w:rsidP="00C57B81">
            <w:pPr>
              <w:jc w:val="both"/>
              <w:rPr>
                <w:rFonts w:ascii="Times New Roman" w:hAnsi="Times New Roman"/>
                <w:sz w:val="22"/>
              </w:rPr>
            </w:pPr>
            <w:r w:rsidRPr="00C20964">
              <w:rPr>
                <w:rFonts w:ascii="Times New Roman" w:hAnsi="Times New Roman"/>
                <w:bCs/>
                <w:sz w:val="22"/>
              </w:rPr>
              <w:t>Jautājums: Vai pieļaujama situācija, kad plānotas izmaksas atbilst noteikumu 24.punktam, bet pēc iepirkuma summa būs mazāka par 400 000 euro un jau būs parakstīts līgums ar LVIF par projekta īstenošanu?</w:t>
            </w:r>
          </w:p>
        </w:tc>
        <w:tc>
          <w:tcPr>
            <w:tcW w:w="7227" w:type="dxa"/>
          </w:tcPr>
          <w:p w14:paraId="40BE216A" w14:textId="2119B601" w:rsidR="00AB59BD" w:rsidRPr="00DD3A2F" w:rsidRDefault="00C57B81" w:rsidP="00C57B81">
            <w:pPr>
              <w:jc w:val="both"/>
              <w:rPr>
                <w:rFonts w:ascii="Times New Roman" w:eastAsiaTheme="minorHAnsi" w:hAnsi="Times New Roman"/>
                <w:sz w:val="22"/>
              </w:rPr>
            </w:pPr>
            <w:r w:rsidRPr="00DD3A2F">
              <w:rPr>
                <w:rFonts w:ascii="Times New Roman" w:hAnsi="Times New Roman"/>
                <w:sz w:val="22"/>
              </w:rPr>
              <w:t xml:space="preserve">Saskaņā ar projektu iesniegumu administratīvās vērtēšanas 1.19.kritēriju minētā prasība tiks izvērtēta projekta iesnieguma vērtēšanas laikā, t.i. EKII finansējuma apjoms pēc iepirkuma veikšanas var būt mazāks par sākotnēji (projekta iesnieguma vērtēšanas laikā) plānoto. Nepieciešams ņemt vērā, ka pie projekta iesnieguma vērtēšanas, tiek vērtēta arī izmaksu pamatotība un samērīgums un, konstatējot nesamērīgas un nepamatotas izmaksas, projekta iesnieguma precizējumu laikā tās būs nepieciešams precizēt un gadījumā, ja pēc precizējumu veikšanas izmaksas joprojām ir nepamatoti augstas, vai pieprasītais EKII finansējums ir mazāks par MKN noteikto slieksni – projekta iesniegums ir noraidāms. </w:t>
            </w:r>
            <w:r w:rsidRPr="00DD3A2F">
              <w:rPr>
                <w:rFonts w:ascii="Times New Roman" w:eastAsiaTheme="minorHAnsi" w:hAnsi="Times New Roman"/>
                <w:sz w:val="22"/>
              </w:rPr>
              <w:t xml:space="preserve"> </w:t>
            </w:r>
          </w:p>
        </w:tc>
      </w:tr>
      <w:tr w:rsidR="00C8033A" w:rsidRPr="00C20964" w14:paraId="33729573" w14:textId="77777777" w:rsidTr="00F6138F">
        <w:trPr>
          <w:cantSplit/>
        </w:trPr>
        <w:tc>
          <w:tcPr>
            <w:tcW w:w="645" w:type="dxa"/>
          </w:tcPr>
          <w:p w14:paraId="0A6AA8DB" w14:textId="4DDC3233" w:rsidR="00C8033A" w:rsidRPr="00C8033A" w:rsidRDefault="00C8033A" w:rsidP="00AB59BD">
            <w:pPr>
              <w:jc w:val="center"/>
              <w:rPr>
                <w:rFonts w:ascii="Times New Roman" w:hAnsi="Times New Roman"/>
                <w:sz w:val="22"/>
              </w:rPr>
            </w:pPr>
            <w:r w:rsidRPr="00C8033A">
              <w:rPr>
                <w:rFonts w:ascii="Times New Roman" w:hAnsi="Times New Roman"/>
                <w:sz w:val="22"/>
              </w:rPr>
              <w:lastRenderedPageBreak/>
              <w:t>2.</w:t>
            </w:r>
          </w:p>
        </w:tc>
        <w:tc>
          <w:tcPr>
            <w:tcW w:w="6754" w:type="dxa"/>
          </w:tcPr>
          <w:p w14:paraId="38DC9DD2" w14:textId="7F4EF4DF" w:rsidR="00C8033A" w:rsidRPr="00C8033A" w:rsidRDefault="00C8033A" w:rsidP="00DD3A2F">
            <w:pPr>
              <w:autoSpaceDE w:val="0"/>
              <w:autoSpaceDN w:val="0"/>
              <w:jc w:val="both"/>
              <w:rPr>
                <w:rFonts w:ascii="Times New Roman" w:hAnsi="Times New Roman"/>
                <w:sz w:val="22"/>
              </w:rPr>
            </w:pPr>
            <w:r w:rsidRPr="00C8033A">
              <w:rPr>
                <w:rFonts w:ascii="Times New Roman" w:hAnsi="Times New Roman"/>
                <w:color w:val="000000"/>
                <w:sz w:val="22"/>
              </w:rPr>
              <w:t xml:space="preserve">Lūdzu sniegt skaidrojumu, kāpēc konkursa </w:t>
            </w:r>
            <w:r w:rsidRPr="00C8033A">
              <w:rPr>
                <w:rStyle w:val="c10"/>
                <w:rFonts w:ascii="Times New Roman" w:hAnsi="Times New Roman"/>
                <w:color w:val="000000"/>
                <w:sz w:val="22"/>
              </w:rPr>
              <w:t>Siltumnīcefekta gāzu emisiju samazināšana - zema enerģijas patēriņa ēkas</w:t>
            </w:r>
            <w:r w:rsidRPr="00C8033A">
              <w:rPr>
                <w:rFonts w:ascii="Times New Roman" w:hAnsi="Times New Roman"/>
                <w:color w:val="000000"/>
                <w:sz w:val="22"/>
              </w:rPr>
              <w:t xml:space="preserve"> vadlīniju projektu iesniedzējiem 24.lapā ir norādīts pamatlīdzekļu amortizācijas (nolietojuma) periods 30 ga</w:t>
            </w:r>
            <w:r>
              <w:rPr>
                <w:rFonts w:ascii="Times New Roman" w:hAnsi="Times New Roman"/>
                <w:color w:val="000000"/>
                <w:sz w:val="22"/>
              </w:rPr>
              <w:t>di. Vai šāds nolietojuma termiņš</w:t>
            </w:r>
            <w:r w:rsidRPr="00C8033A">
              <w:rPr>
                <w:rFonts w:ascii="Times New Roman" w:hAnsi="Times New Roman"/>
                <w:color w:val="000000"/>
                <w:sz w:val="22"/>
              </w:rPr>
              <w:t xml:space="preserve"> ir kā obligāts jārēķina šī konkursa ietvaros?</w:t>
            </w:r>
          </w:p>
        </w:tc>
        <w:tc>
          <w:tcPr>
            <w:tcW w:w="7227" w:type="dxa"/>
          </w:tcPr>
          <w:p w14:paraId="7997DBC4" w14:textId="79019F73" w:rsidR="00564BE4" w:rsidRDefault="00564BE4" w:rsidP="00C57B81">
            <w:pPr>
              <w:jc w:val="both"/>
              <w:rPr>
                <w:rFonts w:ascii="Times New Roman" w:hAnsi="Times New Roman"/>
                <w:color w:val="000000"/>
                <w:sz w:val="22"/>
              </w:rPr>
            </w:pPr>
            <w:r w:rsidRPr="00C8033A">
              <w:rPr>
                <w:rFonts w:ascii="Times New Roman" w:hAnsi="Times New Roman"/>
                <w:color w:val="000000"/>
                <w:sz w:val="22"/>
              </w:rPr>
              <w:t>Paskaidrojam</w:t>
            </w:r>
            <w:r w:rsidR="00DD3A2F">
              <w:rPr>
                <w:rFonts w:ascii="Times New Roman" w:hAnsi="Times New Roman"/>
                <w:color w:val="000000"/>
                <w:sz w:val="22"/>
              </w:rPr>
              <w:t>,</w:t>
            </w:r>
            <w:r w:rsidRPr="00C8033A">
              <w:rPr>
                <w:rFonts w:ascii="Times New Roman" w:hAnsi="Times New Roman"/>
                <w:color w:val="000000"/>
                <w:sz w:val="22"/>
              </w:rPr>
              <w:t xml:space="preserve"> ka vadlīniju projektu iesniedzējiem 24.lapā</w:t>
            </w:r>
            <w:r>
              <w:rPr>
                <w:rFonts w:ascii="Times New Roman" w:hAnsi="Times New Roman"/>
                <w:color w:val="000000"/>
                <w:sz w:val="22"/>
              </w:rPr>
              <w:t xml:space="preserve"> norādītais pamatlīdzekļu amortizācijas (nolietojuma) periods 30 gadi ir tikai piemērs un nav piemērojams konkrētā projekta aprēķiniem. </w:t>
            </w:r>
          </w:p>
          <w:p w14:paraId="029F46FA" w14:textId="0BE23EA4" w:rsidR="00C8033A" w:rsidRPr="00C8033A" w:rsidRDefault="00564BE4" w:rsidP="0060319A">
            <w:pPr>
              <w:jc w:val="both"/>
              <w:rPr>
                <w:rFonts w:ascii="Times New Roman" w:hAnsi="Times New Roman"/>
                <w:sz w:val="22"/>
              </w:rPr>
            </w:pPr>
            <w:r>
              <w:rPr>
                <w:rFonts w:ascii="Times New Roman" w:hAnsi="Times New Roman"/>
                <w:color w:val="000000"/>
                <w:sz w:val="22"/>
              </w:rPr>
              <w:t>A</w:t>
            </w:r>
            <w:r w:rsidR="00C8033A" w:rsidRPr="00C8033A">
              <w:rPr>
                <w:rFonts w:ascii="Times New Roman" w:hAnsi="Times New Roman"/>
                <w:color w:val="000000"/>
                <w:sz w:val="22"/>
              </w:rPr>
              <w:t>mortizācijas</w:t>
            </w:r>
            <w:r>
              <w:rPr>
                <w:rFonts w:ascii="Times New Roman" w:hAnsi="Times New Roman"/>
                <w:color w:val="000000"/>
                <w:sz w:val="22"/>
              </w:rPr>
              <w:t xml:space="preserve"> (nolietojuma)</w:t>
            </w:r>
            <w:r w:rsidR="00C8033A" w:rsidRPr="00C8033A">
              <w:rPr>
                <w:rFonts w:ascii="Times New Roman" w:hAnsi="Times New Roman"/>
                <w:color w:val="000000"/>
                <w:sz w:val="22"/>
              </w:rPr>
              <w:t xml:space="preserve"> periodi</w:t>
            </w:r>
            <w:r w:rsidR="003019E6">
              <w:rPr>
                <w:rFonts w:ascii="Times New Roman" w:hAnsi="Times New Roman"/>
                <w:color w:val="000000"/>
                <w:sz w:val="22"/>
              </w:rPr>
              <w:t>/likmes</w:t>
            </w:r>
            <w:r w:rsidR="00C8033A" w:rsidRPr="00C8033A">
              <w:rPr>
                <w:rFonts w:ascii="Times New Roman" w:hAnsi="Times New Roman"/>
                <w:color w:val="000000"/>
                <w:sz w:val="22"/>
              </w:rPr>
              <w:t xml:space="preserve"> komersantiem ir noteikti likumā Par uzņēmumu ienākuma nodokli. Likumā pamatlīdzekļi ir iedalīti 5 grupās, kurai katrai ir savs amortizācijas (nolietojuma) periods</w:t>
            </w:r>
            <w:r w:rsidR="003019E6">
              <w:rPr>
                <w:rFonts w:ascii="Times New Roman" w:hAnsi="Times New Roman"/>
                <w:color w:val="000000"/>
                <w:sz w:val="22"/>
              </w:rPr>
              <w:t>/likme,</w:t>
            </w:r>
            <w:r w:rsidR="00C8033A" w:rsidRPr="00C8033A">
              <w:rPr>
                <w:rFonts w:ascii="Times New Roman" w:hAnsi="Times New Roman"/>
                <w:color w:val="000000"/>
                <w:sz w:val="22"/>
              </w:rPr>
              <w:t xml:space="preserve"> tāpēc vadlīniju projektu iesniedzējiem 24.lapā ir norādīts, ka </w:t>
            </w:r>
            <w:r w:rsidR="00C8033A" w:rsidRPr="00C8033A">
              <w:rPr>
                <w:rFonts w:ascii="Times New Roman" w:hAnsi="Times New Roman"/>
                <w:i/>
                <w:iCs/>
                <w:color w:val="000000"/>
                <w:sz w:val="22"/>
              </w:rPr>
              <w:t>Projekta iesniedzēji, kas veic saimniecisko darbību un, kam atbalsta sniegšana konkursa ietvaros būtu kvalificējama kā komercdarbības atbalsts</w:t>
            </w:r>
            <w:r w:rsidR="0060319A">
              <w:rPr>
                <w:rFonts w:ascii="Times New Roman" w:hAnsi="Times New Roman"/>
                <w:i/>
                <w:iCs/>
                <w:color w:val="000000"/>
                <w:sz w:val="22"/>
              </w:rPr>
              <w:t>,</w:t>
            </w:r>
            <w:r w:rsidR="00C8033A" w:rsidRPr="00C8033A">
              <w:rPr>
                <w:rFonts w:ascii="Times New Roman" w:hAnsi="Times New Roman"/>
                <w:i/>
                <w:iCs/>
                <w:color w:val="000000"/>
                <w:sz w:val="22"/>
              </w:rPr>
              <w:t xml:space="preserve"> attiecināmo izmaksu aprēķinā jāņem vērā pamatdarbības peļņa projekta ietvaros izbūvēto </w:t>
            </w:r>
            <w:r w:rsidR="00C8033A" w:rsidRPr="00C8033A">
              <w:rPr>
                <w:rFonts w:ascii="Times New Roman" w:hAnsi="Times New Roman"/>
                <w:b/>
                <w:bCs/>
                <w:i/>
                <w:iCs/>
                <w:color w:val="000000"/>
                <w:sz w:val="22"/>
                <w:u w:val="single"/>
              </w:rPr>
              <w:t>pamatlīdzekļu amortizācijas periodā</w:t>
            </w:r>
            <w:r w:rsidR="00C8033A" w:rsidRPr="00C8033A">
              <w:rPr>
                <w:rFonts w:ascii="Times New Roman" w:hAnsi="Times New Roman"/>
                <w:i/>
                <w:iCs/>
                <w:color w:val="000000"/>
                <w:sz w:val="22"/>
              </w:rPr>
              <w:t>.</w:t>
            </w:r>
            <w:r w:rsidR="00C8033A" w:rsidRPr="00C8033A">
              <w:rPr>
                <w:rFonts w:ascii="Times New Roman" w:hAnsi="Times New Roman"/>
                <w:color w:val="000000"/>
                <w:sz w:val="22"/>
              </w:rPr>
              <w:t xml:space="preserve"> Tādējādi</w:t>
            </w:r>
            <w:r w:rsidR="0060319A">
              <w:rPr>
                <w:rFonts w:ascii="Times New Roman" w:hAnsi="Times New Roman"/>
                <w:color w:val="000000"/>
                <w:sz w:val="22"/>
              </w:rPr>
              <w:t>,</w:t>
            </w:r>
            <w:r w:rsidR="00C8033A" w:rsidRPr="00C8033A">
              <w:rPr>
                <w:rFonts w:ascii="Times New Roman" w:hAnsi="Times New Roman"/>
                <w:color w:val="000000"/>
                <w:sz w:val="22"/>
              </w:rPr>
              <w:t xml:space="preserve"> projekta iesniedzējs veicot attiecināmo izmaksu aprēķinu</w:t>
            </w:r>
            <w:r w:rsidR="0060319A">
              <w:rPr>
                <w:rFonts w:ascii="Times New Roman" w:hAnsi="Times New Roman"/>
                <w:color w:val="000000"/>
                <w:sz w:val="22"/>
              </w:rPr>
              <w:t>,</w:t>
            </w:r>
            <w:r w:rsidR="00C8033A" w:rsidRPr="00C8033A">
              <w:rPr>
                <w:rFonts w:ascii="Times New Roman" w:hAnsi="Times New Roman"/>
                <w:color w:val="000000"/>
                <w:sz w:val="22"/>
              </w:rPr>
              <w:t xml:space="preserve"> izmanto konkrētā projekta ietvaros radītajam pamatlīdzeklim attiecīgo atbilstoši tiesību aktiem amortizācijas (nolietojuma) periodu. Ieteicams aprēķiniem pievienot izmantotā amortizācijas (</w:t>
            </w:r>
            <w:r w:rsidR="00A72893">
              <w:rPr>
                <w:rFonts w:ascii="Times New Roman" w:hAnsi="Times New Roman"/>
                <w:color w:val="000000"/>
                <w:sz w:val="22"/>
              </w:rPr>
              <w:t>nolietojums) perioda pamatojumu, it sevišķi</w:t>
            </w:r>
            <w:r w:rsidR="00D370B9">
              <w:rPr>
                <w:rFonts w:ascii="Times New Roman" w:hAnsi="Times New Roman"/>
                <w:color w:val="000000"/>
                <w:sz w:val="22"/>
              </w:rPr>
              <w:t>,</w:t>
            </w:r>
            <w:r w:rsidR="00A72893">
              <w:rPr>
                <w:rFonts w:ascii="Times New Roman" w:hAnsi="Times New Roman"/>
                <w:color w:val="000000"/>
                <w:sz w:val="22"/>
              </w:rPr>
              <w:t xml:space="preserve"> </w:t>
            </w:r>
            <w:r w:rsidR="007413B1">
              <w:rPr>
                <w:rFonts w:ascii="Times New Roman" w:hAnsi="Times New Roman"/>
                <w:color w:val="000000"/>
                <w:sz w:val="22"/>
              </w:rPr>
              <w:t>ja amortizācijas</w:t>
            </w:r>
            <w:r w:rsidR="00D370B9">
              <w:rPr>
                <w:rFonts w:ascii="Times New Roman" w:hAnsi="Times New Roman"/>
                <w:color w:val="000000"/>
                <w:sz w:val="22"/>
              </w:rPr>
              <w:t xml:space="preserve"> </w:t>
            </w:r>
            <w:r w:rsidR="007413B1">
              <w:rPr>
                <w:rFonts w:ascii="Times New Roman" w:hAnsi="Times New Roman"/>
                <w:color w:val="000000"/>
                <w:sz w:val="22"/>
              </w:rPr>
              <w:t xml:space="preserve">(nolietojuma) </w:t>
            </w:r>
            <w:r w:rsidR="009336CB">
              <w:rPr>
                <w:rFonts w:ascii="Times New Roman" w:hAnsi="Times New Roman"/>
                <w:color w:val="000000"/>
                <w:sz w:val="22"/>
              </w:rPr>
              <w:t xml:space="preserve">periods/likme </w:t>
            </w:r>
            <w:r w:rsidR="00C62017">
              <w:rPr>
                <w:rFonts w:ascii="Times New Roman" w:hAnsi="Times New Roman"/>
                <w:color w:val="000000"/>
                <w:sz w:val="22"/>
              </w:rPr>
              <w:t xml:space="preserve">kapitālsabiedrības grāmatvedības politikā ir </w:t>
            </w:r>
            <w:r w:rsidR="009336CB">
              <w:rPr>
                <w:rFonts w:ascii="Times New Roman" w:hAnsi="Times New Roman"/>
                <w:color w:val="000000"/>
                <w:sz w:val="22"/>
              </w:rPr>
              <w:t xml:space="preserve">noteikts </w:t>
            </w:r>
            <w:r w:rsidR="007413B1">
              <w:rPr>
                <w:rFonts w:ascii="Times New Roman" w:hAnsi="Times New Roman"/>
                <w:color w:val="000000"/>
                <w:sz w:val="22"/>
              </w:rPr>
              <w:t>atšķirīgs no likumā Par uzņēmumu ienākum</w:t>
            </w:r>
            <w:r w:rsidR="009336CB">
              <w:rPr>
                <w:rFonts w:ascii="Times New Roman" w:hAnsi="Times New Roman"/>
                <w:color w:val="000000"/>
                <w:sz w:val="22"/>
              </w:rPr>
              <w:t>a</w:t>
            </w:r>
            <w:r w:rsidR="007413B1">
              <w:rPr>
                <w:rFonts w:ascii="Times New Roman" w:hAnsi="Times New Roman"/>
                <w:color w:val="000000"/>
                <w:sz w:val="22"/>
              </w:rPr>
              <w:t xml:space="preserve"> nodokli minētajiem periodiem.</w:t>
            </w:r>
          </w:p>
        </w:tc>
      </w:tr>
      <w:tr w:rsidR="00DD3A2F" w:rsidRPr="007B520A" w14:paraId="6466A466" w14:textId="77777777" w:rsidTr="00F6138F">
        <w:trPr>
          <w:cantSplit/>
        </w:trPr>
        <w:tc>
          <w:tcPr>
            <w:tcW w:w="645" w:type="dxa"/>
          </w:tcPr>
          <w:p w14:paraId="0A7A6566" w14:textId="50BDC20F" w:rsidR="00DD3A2F" w:rsidRPr="007B520A" w:rsidRDefault="00DD3A2F" w:rsidP="00AB59BD">
            <w:pPr>
              <w:jc w:val="center"/>
              <w:rPr>
                <w:rFonts w:ascii="Times New Roman" w:hAnsi="Times New Roman"/>
                <w:sz w:val="22"/>
              </w:rPr>
            </w:pPr>
            <w:r w:rsidRPr="007B520A">
              <w:rPr>
                <w:rFonts w:ascii="Times New Roman" w:hAnsi="Times New Roman"/>
                <w:sz w:val="22"/>
              </w:rPr>
              <w:t>3.</w:t>
            </w:r>
          </w:p>
        </w:tc>
        <w:tc>
          <w:tcPr>
            <w:tcW w:w="6754" w:type="dxa"/>
          </w:tcPr>
          <w:p w14:paraId="1490A2BE" w14:textId="65BE3342" w:rsidR="00DD3A2F" w:rsidRPr="007B520A" w:rsidRDefault="00DD3A2F" w:rsidP="00DD3A2F">
            <w:pPr>
              <w:autoSpaceDE w:val="0"/>
              <w:autoSpaceDN w:val="0"/>
              <w:jc w:val="both"/>
              <w:rPr>
                <w:rFonts w:ascii="Times New Roman" w:hAnsi="Times New Roman"/>
                <w:color w:val="000000"/>
                <w:sz w:val="22"/>
              </w:rPr>
            </w:pPr>
            <w:r w:rsidRPr="007B520A">
              <w:rPr>
                <w:rFonts w:ascii="Times New Roman" w:hAnsi="Times New Roman"/>
                <w:color w:val="000000"/>
                <w:sz w:val="22"/>
              </w:rPr>
              <w:t>Vai pareizi izprotam Ministru kabineta noteikumi Nr. 69 punktu 17.1.1., kas nosaka, ka uz finansējumu var pretendēt ēka, kurā no kopējās platības lietojuma mērķis vismaz 60 % telpu ir kods 1263 (skolas, universitātes un zinātniskajai pētniecībai paredzētās funkcijas) un vismaz 20 % telpu ir kods 1261 (</w:t>
            </w:r>
            <w:proofErr w:type="spellStart"/>
            <w:r w:rsidRPr="007B520A">
              <w:rPr>
                <w:rFonts w:ascii="Times New Roman" w:hAnsi="Times New Roman"/>
                <w:color w:val="000000"/>
                <w:sz w:val="22"/>
              </w:rPr>
              <w:t>plašizklaides</w:t>
            </w:r>
            <w:proofErr w:type="spellEnd"/>
            <w:r w:rsidRPr="007B520A">
              <w:rPr>
                <w:rFonts w:ascii="Times New Roman" w:hAnsi="Times New Roman"/>
                <w:color w:val="000000"/>
                <w:sz w:val="22"/>
              </w:rPr>
              <w:t xml:space="preserve"> pasākumiem). Tas nozīmē, ka ēka, kurai lietošanas kods ir tikai 1261, nevar pretendēt uz finansējumu?</w:t>
            </w:r>
          </w:p>
        </w:tc>
        <w:tc>
          <w:tcPr>
            <w:tcW w:w="7227" w:type="dxa"/>
          </w:tcPr>
          <w:p w14:paraId="0BC01EB4" w14:textId="0B5F7067" w:rsidR="00DD3A2F" w:rsidRPr="007B520A" w:rsidRDefault="00387C70" w:rsidP="002D27D0">
            <w:pPr>
              <w:jc w:val="both"/>
              <w:rPr>
                <w:rFonts w:ascii="Times New Roman" w:hAnsi="Times New Roman"/>
                <w:color w:val="000000"/>
                <w:sz w:val="22"/>
              </w:rPr>
            </w:pPr>
            <w:r w:rsidRPr="007B520A">
              <w:rPr>
                <w:rFonts w:ascii="Times New Roman" w:hAnsi="Times New Roman"/>
                <w:color w:val="000000"/>
                <w:sz w:val="22"/>
              </w:rPr>
              <w:t>Paskaidrojam, ka projektam, kurā iekļautās aktivitātes plānots īstenot ēkā</w:t>
            </w:r>
            <w:r w:rsidR="00DD3A2F" w:rsidRPr="007B520A">
              <w:rPr>
                <w:rFonts w:ascii="Times New Roman" w:hAnsi="Times New Roman"/>
                <w:color w:val="000000"/>
                <w:sz w:val="22"/>
              </w:rPr>
              <w:t xml:space="preserve">, kuru izmanto tikai </w:t>
            </w:r>
            <w:proofErr w:type="spellStart"/>
            <w:r w:rsidR="00DD3A2F" w:rsidRPr="007B520A">
              <w:rPr>
                <w:rFonts w:ascii="Times New Roman" w:hAnsi="Times New Roman"/>
                <w:color w:val="000000"/>
                <w:sz w:val="22"/>
              </w:rPr>
              <w:t>plašizklaides</w:t>
            </w:r>
            <w:proofErr w:type="spellEnd"/>
            <w:r w:rsidR="00DD3A2F" w:rsidRPr="007B520A">
              <w:rPr>
                <w:rFonts w:ascii="Times New Roman" w:hAnsi="Times New Roman"/>
                <w:color w:val="000000"/>
                <w:sz w:val="22"/>
              </w:rPr>
              <w:t xml:space="preserve"> pasākumiem</w:t>
            </w:r>
            <w:r w:rsidR="00DD3A2F" w:rsidRPr="007B520A">
              <w:rPr>
                <w:rFonts w:ascii="Times New Roman" w:hAnsi="Times New Roman"/>
              </w:rPr>
              <w:t xml:space="preserve"> </w:t>
            </w:r>
            <w:r w:rsidR="00DD3A2F" w:rsidRPr="007B520A">
              <w:rPr>
                <w:rFonts w:ascii="Times New Roman" w:hAnsi="Times New Roman"/>
                <w:color w:val="000000"/>
                <w:sz w:val="22"/>
              </w:rPr>
              <w:t>(kods 1261)</w:t>
            </w:r>
            <w:r w:rsidRPr="007B520A">
              <w:rPr>
                <w:rFonts w:ascii="Times New Roman" w:hAnsi="Times New Roman"/>
                <w:color w:val="000000"/>
                <w:sz w:val="22"/>
              </w:rPr>
              <w:t>,</w:t>
            </w:r>
            <w:r w:rsidR="00DD3A2F" w:rsidRPr="007B520A">
              <w:rPr>
                <w:rFonts w:ascii="Times New Roman" w:hAnsi="Times New Roman"/>
                <w:color w:val="000000"/>
                <w:sz w:val="22"/>
              </w:rPr>
              <w:t xml:space="preserve"> </w:t>
            </w:r>
            <w:r w:rsidR="002D27D0" w:rsidRPr="007B520A">
              <w:rPr>
                <w:rFonts w:ascii="Times New Roman" w:hAnsi="Times New Roman"/>
                <w:color w:val="000000"/>
                <w:sz w:val="22"/>
              </w:rPr>
              <w:t>nevar tikt</w:t>
            </w:r>
            <w:r w:rsidRPr="007B520A">
              <w:rPr>
                <w:rFonts w:ascii="Times New Roman" w:hAnsi="Times New Roman"/>
                <w:color w:val="000000"/>
                <w:sz w:val="22"/>
              </w:rPr>
              <w:t xml:space="preserve"> piešķirts</w:t>
            </w:r>
            <w:r w:rsidR="00DD3A2F" w:rsidRPr="007B520A">
              <w:rPr>
                <w:rFonts w:ascii="Times New Roman" w:hAnsi="Times New Roman"/>
                <w:color w:val="000000"/>
                <w:sz w:val="22"/>
              </w:rPr>
              <w:t xml:space="preserve"> finanšu instrumenta finansējum</w:t>
            </w:r>
            <w:r w:rsidRPr="007B520A">
              <w:rPr>
                <w:rFonts w:ascii="Times New Roman" w:hAnsi="Times New Roman"/>
                <w:color w:val="000000"/>
                <w:sz w:val="22"/>
              </w:rPr>
              <w:t>s</w:t>
            </w:r>
            <w:r w:rsidR="002D27D0" w:rsidRPr="007B520A">
              <w:rPr>
                <w:rFonts w:ascii="Times New Roman" w:hAnsi="Times New Roman"/>
                <w:color w:val="000000"/>
                <w:sz w:val="22"/>
              </w:rPr>
              <w:t xml:space="preserve"> konkursa ietvaros, jo šāda ēka neatbilst MK noteikumu Nr.69 17.1 apakšpunkta prasībām.</w:t>
            </w:r>
          </w:p>
        </w:tc>
      </w:tr>
      <w:tr w:rsidR="007B520A" w:rsidRPr="007B520A" w14:paraId="1780B255" w14:textId="77777777" w:rsidTr="00F6138F">
        <w:trPr>
          <w:cantSplit/>
        </w:trPr>
        <w:tc>
          <w:tcPr>
            <w:tcW w:w="645" w:type="dxa"/>
          </w:tcPr>
          <w:p w14:paraId="135B7D47" w14:textId="772230C6" w:rsidR="007B520A" w:rsidRPr="007B520A" w:rsidRDefault="007B520A" w:rsidP="00AB59BD">
            <w:pPr>
              <w:jc w:val="center"/>
              <w:rPr>
                <w:rFonts w:ascii="Times New Roman" w:hAnsi="Times New Roman"/>
                <w:sz w:val="22"/>
              </w:rPr>
            </w:pPr>
            <w:r w:rsidRPr="007B520A">
              <w:rPr>
                <w:rFonts w:ascii="Times New Roman" w:hAnsi="Times New Roman"/>
                <w:sz w:val="22"/>
              </w:rPr>
              <w:t>4.</w:t>
            </w:r>
          </w:p>
        </w:tc>
        <w:tc>
          <w:tcPr>
            <w:tcW w:w="6754" w:type="dxa"/>
          </w:tcPr>
          <w:p w14:paraId="37E1D57A" w14:textId="21E0836F" w:rsidR="007B520A" w:rsidRPr="000A3CC4" w:rsidRDefault="007B520A" w:rsidP="00DD3A2F">
            <w:pPr>
              <w:autoSpaceDE w:val="0"/>
              <w:autoSpaceDN w:val="0"/>
              <w:jc w:val="both"/>
              <w:rPr>
                <w:rFonts w:ascii="Times New Roman" w:hAnsi="Times New Roman"/>
                <w:color w:val="000000"/>
                <w:sz w:val="22"/>
              </w:rPr>
            </w:pPr>
            <w:r w:rsidRPr="000A3CC4">
              <w:rPr>
                <w:rFonts w:ascii="Times New Roman" w:hAnsi="Times New Roman"/>
                <w:color w:val="000000"/>
                <w:sz w:val="22"/>
              </w:rPr>
              <w:t xml:space="preserve">Vadlīnijās projektu iesniedzējiem iekavās zem </w:t>
            </w:r>
            <w:r w:rsidR="000A3CC4" w:rsidRPr="000A3CC4">
              <w:rPr>
                <w:rFonts w:ascii="Times New Roman" w:hAnsi="Times New Roman"/>
                <w:color w:val="000000"/>
                <w:sz w:val="22"/>
              </w:rPr>
              <w:t xml:space="preserve">2.9. Projektā sasniedzamie rādītāji </w:t>
            </w:r>
            <w:r w:rsidRPr="000A3CC4">
              <w:rPr>
                <w:rFonts w:ascii="Times New Roman" w:hAnsi="Times New Roman"/>
                <w:color w:val="000000"/>
                <w:sz w:val="22"/>
              </w:rPr>
              <w:t xml:space="preserve">punkta norādīts – „norāda plānoto pasākumu skaitu gadā par pilnu gadu”, savukārt rādītāja nosaukumā ir „ēkā plānotais cilvēku vienlaicīgas uzturēšanās skaits gadā”. Vai šajā laukā jāieraksta pasākumu skaits vai maksimālais cilvēku skaits, kas vienlaicīgi var uzturēties ēkā? Ja jāraksta pasākumu skaits, un ēkā notiek gan kultūras pasākumi, gan izglītības process, kas nozīmē, ka ēkā cilvēki uzturas gan kultūras pasākumu laikā, gan katru dienu, kad notiek nodarbības, tad šajā laukā ierakstāms dienu skaits gadā, kad ēkā </w:t>
            </w:r>
            <w:r w:rsidR="00922DF7" w:rsidRPr="000A3CC4">
              <w:rPr>
                <w:rFonts w:ascii="Times New Roman" w:hAnsi="Times New Roman"/>
                <w:color w:val="000000"/>
                <w:sz w:val="22"/>
              </w:rPr>
              <w:t>uzturas</w:t>
            </w:r>
            <w:r w:rsidRPr="000A3CC4">
              <w:rPr>
                <w:rFonts w:ascii="Times New Roman" w:hAnsi="Times New Roman"/>
                <w:color w:val="000000"/>
                <w:sz w:val="22"/>
              </w:rPr>
              <w:t xml:space="preserve"> cilvēki (darbinieki, izglītojamie, apmeklētāji)?</w:t>
            </w:r>
          </w:p>
        </w:tc>
        <w:tc>
          <w:tcPr>
            <w:tcW w:w="7227" w:type="dxa"/>
          </w:tcPr>
          <w:p w14:paraId="6DC77281" w14:textId="03544F66" w:rsidR="007B520A" w:rsidRPr="000A3CC4" w:rsidRDefault="00F66883" w:rsidP="004C2819">
            <w:pPr>
              <w:jc w:val="both"/>
              <w:rPr>
                <w:rFonts w:ascii="Times New Roman" w:hAnsi="Times New Roman"/>
                <w:color w:val="000000"/>
                <w:sz w:val="22"/>
              </w:rPr>
            </w:pPr>
            <w:r w:rsidRPr="000A3CC4">
              <w:rPr>
                <w:rFonts w:ascii="Times New Roman" w:hAnsi="Times New Roman"/>
                <w:color w:val="000000"/>
                <w:sz w:val="22"/>
              </w:rPr>
              <w:t>Paskaidrojam, ka projekta iesnieguma veidlapas 2.9.</w:t>
            </w:r>
            <w:r w:rsidR="00934EBA">
              <w:rPr>
                <w:rFonts w:ascii="Times New Roman" w:hAnsi="Times New Roman"/>
                <w:color w:val="000000"/>
                <w:sz w:val="22"/>
              </w:rPr>
              <w:t>apakš</w:t>
            </w:r>
            <w:r w:rsidRPr="000A3CC4">
              <w:rPr>
                <w:rFonts w:ascii="Times New Roman" w:hAnsi="Times New Roman"/>
                <w:color w:val="000000"/>
                <w:sz w:val="22"/>
              </w:rPr>
              <w:t>punktā “Projektā sasniedzamie rādītāji” 5.rindā</w:t>
            </w:r>
            <w:r w:rsidR="00922DF7" w:rsidRPr="000A3CC4">
              <w:rPr>
                <w:rFonts w:ascii="Times New Roman" w:hAnsi="Times New Roman"/>
                <w:color w:val="000000"/>
                <w:sz w:val="22"/>
              </w:rPr>
              <w:t xml:space="preserve"> jānorāda</w:t>
            </w:r>
            <w:r w:rsidRPr="000A3CC4">
              <w:rPr>
                <w:rFonts w:ascii="Times New Roman" w:hAnsi="Times New Roman"/>
                <w:color w:val="000000"/>
                <w:sz w:val="22"/>
              </w:rPr>
              <w:t xml:space="preserve"> attiecīgajā ēkā plānoto</w:t>
            </w:r>
            <w:r w:rsidR="00922DF7" w:rsidRPr="000A3CC4">
              <w:rPr>
                <w:rFonts w:ascii="Times New Roman" w:hAnsi="Times New Roman"/>
                <w:color w:val="000000"/>
                <w:sz w:val="22"/>
              </w:rPr>
              <w:t xml:space="preserve"> pasākumu skaits gadā, jo rādītāja nosaukums ir „</w:t>
            </w:r>
            <w:r w:rsidR="00022CA7" w:rsidRPr="000A3CC4">
              <w:rPr>
                <w:rFonts w:ascii="Times New Roman" w:hAnsi="Times New Roman"/>
                <w:color w:val="000000"/>
                <w:sz w:val="22"/>
              </w:rPr>
              <w:t>Ē</w:t>
            </w:r>
            <w:r w:rsidR="00922DF7" w:rsidRPr="000A3CC4">
              <w:rPr>
                <w:rFonts w:ascii="Times New Roman" w:hAnsi="Times New Roman"/>
                <w:color w:val="000000"/>
                <w:sz w:val="22"/>
              </w:rPr>
              <w:t xml:space="preserve">kā plānotais cilvēku </w:t>
            </w:r>
            <w:r w:rsidR="00922DF7" w:rsidRPr="000A3CC4">
              <w:rPr>
                <w:rFonts w:ascii="Times New Roman" w:hAnsi="Times New Roman"/>
                <w:b/>
                <w:color w:val="000000"/>
                <w:sz w:val="22"/>
              </w:rPr>
              <w:t>vienlaicīgas uzturēšanās</w:t>
            </w:r>
            <w:r w:rsidR="00922DF7" w:rsidRPr="000A3CC4">
              <w:rPr>
                <w:rFonts w:ascii="Times New Roman" w:hAnsi="Times New Roman"/>
                <w:color w:val="000000"/>
                <w:sz w:val="22"/>
              </w:rPr>
              <w:t xml:space="preserve"> </w:t>
            </w:r>
            <w:r w:rsidR="00922DF7" w:rsidRPr="000A3CC4">
              <w:rPr>
                <w:rFonts w:ascii="Times New Roman" w:hAnsi="Times New Roman"/>
                <w:b/>
                <w:color w:val="000000"/>
                <w:sz w:val="22"/>
              </w:rPr>
              <w:t xml:space="preserve">skaits </w:t>
            </w:r>
            <w:r w:rsidR="00922DF7" w:rsidRPr="000A3CC4">
              <w:rPr>
                <w:rFonts w:ascii="Times New Roman" w:hAnsi="Times New Roman"/>
                <w:color w:val="000000"/>
                <w:sz w:val="22"/>
              </w:rPr>
              <w:t>gadā</w:t>
            </w:r>
            <w:r w:rsidR="00022CA7" w:rsidRPr="000A3CC4">
              <w:rPr>
                <w:rFonts w:ascii="Times New Roman" w:hAnsi="Times New Roman"/>
                <w:b/>
                <w:color w:val="000000"/>
                <w:sz w:val="22"/>
              </w:rPr>
              <w:t xml:space="preserve"> </w:t>
            </w:r>
            <w:r w:rsidR="00022CA7" w:rsidRPr="000A3CC4">
              <w:rPr>
                <w:rFonts w:ascii="Times New Roman" w:hAnsi="Times New Roman"/>
                <w:color w:val="000000"/>
                <w:sz w:val="22"/>
              </w:rPr>
              <w:t>pēc projekta</w:t>
            </w:r>
            <w:r w:rsidR="00022CA7" w:rsidRPr="000A3CC4">
              <w:rPr>
                <w:rFonts w:ascii="Times New Roman" w:hAnsi="Times New Roman"/>
                <w:b/>
                <w:color w:val="000000"/>
                <w:sz w:val="22"/>
              </w:rPr>
              <w:t xml:space="preserve"> </w:t>
            </w:r>
            <w:r w:rsidR="00022CA7" w:rsidRPr="000A3CC4">
              <w:rPr>
                <w:rFonts w:ascii="Times New Roman" w:hAnsi="Times New Roman"/>
                <w:color w:val="000000"/>
                <w:sz w:val="22"/>
              </w:rPr>
              <w:t>īstenošanas beigu termiņa</w:t>
            </w:r>
            <w:r w:rsidR="00922DF7" w:rsidRPr="000A3CC4">
              <w:rPr>
                <w:rFonts w:ascii="Times New Roman" w:hAnsi="Times New Roman"/>
                <w:color w:val="000000"/>
                <w:sz w:val="22"/>
              </w:rPr>
              <w:t>”</w:t>
            </w:r>
            <w:r w:rsidR="00022CA7" w:rsidRPr="000A3CC4">
              <w:rPr>
                <w:rFonts w:ascii="Times New Roman" w:hAnsi="Times New Roman"/>
                <w:color w:val="000000"/>
                <w:sz w:val="22"/>
              </w:rPr>
              <w:t xml:space="preserve"> un mērvienība “skaits gadā”.</w:t>
            </w:r>
            <w:r w:rsidR="00922DF7" w:rsidRPr="000A3CC4">
              <w:rPr>
                <w:rFonts w:ascii="Times New Roman" w:hAnsi="Times New Roman"/>
                <w:color w:val="000000"/>
                <w:sz w:val="22"/>
              </w:rPr>
              <w:t xml:space="preserve"> Vēršam uzmanību, ka</w:t>
            </w:r>
            <w:r w:rsidR="00022CA7" w:rsidRPr="000A3CC4">
              <w:rPr>
                <w:rFonts w:ascii="Times New Roman" w:hAnsi="Times New Roman"/>
                <w:color w:val="000000"/>
                <w:sz w:val="22"/>
              </w:rPr>
              <w:t xml:space="preserve"> vadlīnijās</w:t>
            </w:r>
            <w:r w:rsidRPr="000A3CC4">
              <w:rPr>
                <w:rFonts w:ascii="Times New Roman" w:hAnsi="Times New Roman"/>
                <w:color w:val="000000"/>
                <w:sz w:val="22"/>
              </w:rPr>
              <w:t xml:space="preserve"> projektu iesniedzējiem</w:t>
            </w:r>
            <w:r w:rsidR="00022CA7" w:rsidRPr="000A3CC4">
              <w:rPr>
                <w:rFonts w:ascii="Times New Roman" w:hAnsi="Times New Roman"/>
                <w:color w:val="000000"/>
                <w:sz w:val="22"/>
              </w:rPr>
              <w:t xml:space="preserve"> </w:t>
            </w:r>
            <w:r w:rsidRPr="000A3CC4">
              <w:rPr>
                <w:rFonts w:ascii="Times New Roman" w:hAnsi="Times New Roman"/>
                <w:color w:val="000000"/>
                <w:sz w:val="22"/>
              </w:rPr>
              <w:t>minētajā 2.9.punkta 5</w:t>
            </w:r>
            <w:r w:rsidR="00280EE3" w:rsidRPr="000A3CC4">
              <w:rPr>
                <w:rFonts w:ascii="Times New Roman" w:hAnsi="Times New Roman"/>
                <w:color w:val="000000"/>
                <w:sz w:val="22"/>
              </w:rPr>
              <w:t>.</w:t>
            </w:r>
            <w:r w:rsidRPr="000A3CC4">
              <w:rPr>
                <w:rFonts w:ascii="Times New Roman" w:hAnsi="Times New Roman"/>
                <w:color w:val="000000"/>
                <w:sz w:val="22"/>
              </w:rPr>
              <w:t xml:space="preserve">rindā </w:t>
            </w:r>
            <w:r w:rsidR="00022CA7" w:rsidRPr="000A3CC4">
              <w:rPr>
                <w:rFonts w:ascii="Times New Roman" w:hAnsi="Times New Roman"/>
                <w:color w:val="000000"/>
                <w:sz w:val="22"/>
              </w:rPr>
              <w:t xml:space="preserve">ir norādīts </w:t>
            </w:r>
            <w:r w:rsidR="004C2819">
              <w:rPr>
                <w:rFonts w:ascii="Times New Roman" w:hAnsi="Times New Roman"/>
                <w:color w:val="000000"/>
                <w:sz w:val="22"/>
              </w:rPr>
              <w:t>šāds</w:t>
            </w:r>
            <w:r w:rsidR="004C2819" w:rsidRPr="000A3CC4">
              <w:rPr>
                <w:rFonts w:ascii="Times New Roman" w:hAnsi="Times New Roman"/>
                <w:color w:val="000000"/>
                <w:sz w:val="22"/>
              </w:rPr>
              <w:t xml:space="preserve"> </w:t>
            </w:r>
            <w:r w:rsidR="00022CA7" w:rsidRPr="000A3CC4">
              <w:rPr>
                <w:rFonts w:ascii="Times New Roman" w:hAnsi="Times New Roman"/>
                <w:color w:val="000000"/>
                <w:sz w:val="22"/>
              </w:rPr>
              <w:t>skaidrojums “norāda plānoto pasākumu skaitu gadā par pilnu gadu” un</w:t>
            </w:r>
            <w:r w:rsidR="00922DF7" w:rsidRPr="000A3CC4">
              <w:rPr>
                <w:rFonts w:ascii="Times New Roman" w:hAnsi="Times New Roman"/>
                <w:color w:val="000000"/>
                <w:sz w:val="22"/>
              </w:rPr>
              <w:t xml:space="preserve"> minētā informācija ir detalizētāk jāpaskaidro </w:t>
            </w:r>
            <w:r w:rsidRPr="000A3CC4">
              <w:rPr>
                <w:rFonts w:ascii="Times New Roman" w:hAnsi="Times New Roman"/>
                <w:color w:val="000000"/>
                <w:sz w:val="22"/>
              </w:rPr>
              <w:t xml:space="preserve">projekta iesnieguma veidlapas </w:t>
            </w:r>
            <w:r w:rsidR="00922DF7" w:rsidRPr="000A3CC4">
              <w:rPr>
                <w:rFonts w:ascii="Times New Roman" w:hAnsi="Times New Roman"/>
                <w:color w:val="000000"/>
                <w:sz w:val="22"/>
              </w:rPr>
              <w:t>2.10.</w:t>
            </w:r>
            <w:r w:rsidR="004C2819">
              <w:rPr>
                <w:rFonts w:ascii="Times New Roman" w:hAnsi="Times New Roman"/>
                <w:color w:val="000000"/>
                <w:sz w:val="22"/>
              </w:rPr>
              <w:t>apakš</w:t>
            </w:r>
            <w:r w:rsidRPr="000A3CC4">
              <w:rPr>
                <w:rFonts w:ascii="Times New Roman" w:hAnsi="Times New Roman"/>
                <w:color w:val="000000"/>
                <w:sz w:val="22"/>
              </w:rPr>
              <w:t>punktā</w:t>
            </w:r>
            <w:r w:rsidR="00922DF7" w:rsidRPr="000A3CC4">
              <w:rPr>
                <w:rFonts w:ascii="Times New Roman" w:hAnsi="Times New Roman"/>
                <w:color w:val="000000"/>
                <w:sz w:val="22"/>
              </w:rPr>
              <w:t xml:space="preserve"> </w:t>
            </w:r>
            <w:r w:rsidRPr="000A3CC4">
              <w:rPr>
                <w:rFonts w:ascii="Times New Roman" w:hAnsi="Times New Roman"/>
                <w:color w:val="000000"/>
                <w:sz w:val="22"/>
              </w:rPr>
              <w:t>“</w:t>
            </w:r>
            <w:r w:rsidR="00922DF7" w:rsidRPr="000A3CC4">
              <w:rPr>
                <w:rFonts w:ascii="Times New Roman" w:hAnsi="Times New Roman"/>
                <w:color w:val="000000"/>
                <w:sz w:val="22"/>
              </w:rPr>
              <w:t xml:space="preserve">Ēkā plānotais cilvēku vienlaicīgas uzturēšanās skaits un plānotais apmeklējumu skaits ēkā pēc projekta īstenošanas beigu termiņa (apmeklējumi/gadā)”, kur </w:t>
            </w:r>
            <w:r w:rsidR="00022CA7" w:rsidRPr="000A3CC4">
              <w:rPr>
                <w:rFonts w:ascii="Times New Roman" w:hAnsi="Times New Roman"/>
                <w:color w:val="000000"/>
                <w:sz w:val="22"/>
              </w:rPr>
              <w:t>jānorāda</w:t>
            </w:r>
            <w:r w:rsidR="006024EE" w:rsidRPr="000A3CC4">
              <w:rPr>
                <w:rFonts w:ascii="Times New Roman" w:hAnsi="Times New Roman"/>
                <w:color w:val="000000"/>
                <w:sz w:val="22"/>
              </w:rPr>
              <w:t>,</w:t>
            </w:r>
            <w:r w:rsidR="00922DF7" w:rsidRPr="000A3CC4">
              <w:rPr>
                <w:rFonts w:ascii="Times New Roman" w:hAnsi="Times New Roman"/>
                <w:color w:val="000000"/>
                <w:sz w:val="22"/>
              </w:rPr>
              <w:t xml:space="preserve"> cik </w:t>
            </w:r>
            <w:r w:rsidRPr="000A3CC4">
              <w:rPr>
                <w:rFonts w:ascii="Times New Roman" w:hAnsi="Times New Roman"/>
                <w:color w:val="000000"/>
                <w:sz w:val="22"/>
              </w:rPr>
              <w:t xml:space="preserve">kalendārā </w:t>
            </w:r>
            <w:r w:rsidR="00922DF7" w:rsidRPr="000A3CC4">
              <w:rPr>
                <w:rFonts w:ascii="Times New Roman" w:hAnsi="Times New Roman"/>
                <w:color w:val="000000"/>
                <w:sz w:val="22"/>
              </w:rPr>
              <w:t xml:space="preserve">gadā ir </w:t>
            </w:r>
            <w:r w:rsidR="00022CA7" w:rsidRPr="000A3CC4">
              <w:rPr>
                <w:rFonts w:ascii="Times New Roman" w:hAnsi="Times New Roman"/>
                <w:color w:val="000000"/>
                <w:sz w:val="22"/>
              </w:rPr>
              <w:t xml:space="preserve">plānoti </w:t>
            </w:r>
            <w:r w:rsidR="00922DF7" w:rsidRPr="000A3CC4">
              <w:rPr>
                <w:rFonts w:ascii="Times New Roman" w:hAnsi="Times New Roman"/>
                <w:color w:val="000000"/>
                <w:sz w:val="22"/>
              </w:rPr>
              <w:t xml:space="preserve">kultūras pasākumi un cik ir </w:t>
            </w:r>
            <w:r w:rsidR="006024EE" w:rsidRPr="000A3CC4">
              <w:rPr>
                <w:rFonts w:ascii="Times New Roman" w:hAnsi="Times New Roman"/>
                <w:color w:val="000000"/>
                <w:sz w:val="22"/>
              </w:rPr>
              <w:t xml:space="preserve">ar izglītību saistītas aktivitātes. </w:t>
            </w:r>
          </w:p>
        </w:tc>
      </w:tr>
      <w:tr w:rsidR="007B520A" w:rsidRPr="007B520A" w14:paraId="69EE543A" w14:textId="77777777" w:rsidTr="00F6138F">
        <w:trPr>
          <w:cantSplit/>
        </w:trPr>
        <w:tc>
          <w:tcPr>
            <w:tcW w:w="645" w:type="dxa"/>
          </w:tcPr>
          <w:p w14:paraId="3C6D6E20" w14:textId="540CAEDD" w:rsidR="007B520A" w:rsidRPr="007B520A" w:rsidRDefault="007B520A" w:rsidP="00AB59BD">
            <w:pPr>
              <w:jc w:val="center"/>
              <w:rPr>
                <w:rFonts w:ascii="Times New Roman" w:hAnsi="Times New Roman"/>
                <w:sz w:val="22"/>
              </w:rPr>
            </w:pPr>
            <w:r w:rsidRPr="007B520A">
              <w:rPr>
                <w:rFonts w:ascii="Times New Roman" w:hAnsi="Times New Roman"/>
                <w:sz w:val="22"/>
              </w:rPr>
              <w:lastRenderedPageBreak/>
              <w:t>5.</w:t>
            </w:r>
          </w:p>
        </w:tc>
        <w:tc>
          <w:tcPr>
            <w:tcW w:w="6754" w:type="dxa"/>
          </w:tcPr>
          <w:p w14:paraId="4D269CE3" w14:textId="0AC14758" w:rsidR="007B520A" w:rsidRPr="007B520A" w:rsidRDefault="007B520A" w:rsidP="007B520A">
            <w:pPr>
              <w:autoSpaceDE w:val="0"/>
              <w:autoSpaceDN w:val="0"/>
              <w:jc w:val="both"/>
              <w:rPr>
                <w:rFonts w:ascii="Times New Roman" w:hAnsi="Times New Roman"/>
                <w:color w:val="000000"/>
                <w:sz w:val="22"/>
              </w:rPr>
            </w:pPr>
            <w:r w:rsidRPr="007B520A">
              <w:rPr>
                <w:rFonts w:ascii="Times New Roman" w:hAnsi="Times New Roman"/>
                <w:color w:val="000000"/>
                <w:sz w:val="22"/>
              </w:rPr>
              <w:t xml:space="preserve">Ja ir izstrādāts un akceptēts būvprojekts, kā arī tas ir iesniegts būvvaldē un saņemta būvatļauja ar atzīmi par būvdarbu uzsākšanas nosacījumu izpildi, vai un kādi dokumenti jāiesniedz, atbilstoši </w:t>
            </w:r>
            <w:proofErr w:type="gramStart"/>
            <w:r w:rsidRPr="007B520A">
              <w:rPr>
                <w:rFonts w:ascii="Times New Roman" w:hAnsi="Times New Roman"/>
                <w:color w:val="000000"/>
                <w:sz w:val="22"/>
              </w:rPr>
              <w:t>augstāk minētajam</w:t>
            </w:r>
            <w:proofErr w:type="gramEnd"/>
            <w:r w:rsidRPr="007B520A">
              <w:rPr>
                <w:rFonts w:ascii="Times New Roman" w:hAnsi="Times New Roman"/>
                <w:color w:val="000000"/>
                <w:sz w:val="22"/>
              </w:rPr>
              <w:t xml:space="preserve"> punktam Projekta iesnieguma veidlapā un MK noteikumu Nr.69 43.2.3. punktam: „sagatavotus būvniecības ieceres dokumentus (grafisko daļu un aprēķinus (attiecināms uz apliecinājuma karti vai paskaidrojuma rakstu) vai būvprojektu minimālā sastāvā (attiecināms uz būvatļauju), ēkas tehniskās apsekošanas atzinumu, arhitektoniski mākslinieciskās izpētes atzinumu), ja tie nav iesniegti būvvaldē”?</w:t>
            </w:r>
          </w:p>
        </w:tc>
        <w:tc>
          <w:tcPr>
            <w:tcW w:w="7227" w:type="dxa"/>
          </w:tcPr>
          <w:p w14:paraId="5D5D9372" w14:textId="0189E20A" w:rsidR="007B520A" w:rsidRPr="007B520A" w:rsidRDefault="00922DF7" w:rsidP="000672E7">
            <w:pPr>
              <w:jc w:val="both"/>
              <w:rPr>
                <w:rFonts w:ascii="Times New Roman" w:hAnsi="Times New Roman"/>
                <w:color w:val="000000"/>
                <w:sz w:val="22"/>
              </w:rPr>
            </w:pPr>
            <w:r w:rsidRPr="00922DF7">
              <w:rPr>
                <w:rFonts w:ascii="Times New Roman" w:hAnsi="Times New Roman"/>
                <w:color w:val="000000"/>
                <w:sz w:val="22"/>
              </w:rPr>
              <w:t>Saskaņā ar MK noteikum</w:t>
            </w:r>
            <w:r w:rsidR="00527CAE">
              <w:rPr>
                <w:rFonts w:ascii="Times New Roman" w:hAnsi="Times New Roman"/>
                <w:color w:val="000000"/>
                <w:sz w:val="22"/>
              </w:rPr>
              <w:t>u</w:t>
            </w:r>
            <w:r w:rsidRPr="00922DF7">
              <w:rPr>
                <w:rFonts w:ascii="Times New Roman" w:hAnsi="Times New Roman"/>
                <w:color w:val="000000"/>
                <w:sz w:val="22"/>
              </w:rPr>
              <w:t xml:space="preserve"> Nr.69 43.2.</w:t>
            </w:r>
            <w:r>
              <w:rPr>
                <w:rFonts w:ascii="Times New Roman" w:hAnsi="Times New Roman"/>
                <w:color w:val="000000"/>
                <w:sz w:val="22"/>
              </w:rPr>
              <w:t>3</w:t>
            </w:r>
            <w:r w:rsidRPr="00922DF7">
              <w:rPr>
                <w:rFonts w:ascii="Times New Roman" w:hAnsi="Times New Roman"/>
                <w:color w:val="000000"/>
                <w:sz w:val="22"/>
              </w:rPr>
              <w:t>. punktu</w:t>
            </w:r>
            <w:r>
              <w:rPr>
                <w:rFonts w:ascii="Times New Roman" w:hAnsi="Times New Roman"/>
                <w:color w:val="000000"/>
                <w:sz w:val="22"/>
              </w:rPr>
              <w:t xml:space="preserve">, </w:t>
            </w:r>
            <w:r w:rsidR="006447A1">
              <w:rPr>
                <w:rFonts w:ascii="Times New Roman" w:hAnsi="Times New Roman"/>
                <w:color w:val="000000"/>
                <w:sz w:val="22"/>
              </w:rPr>
              <w:t>ja būvniecības ieceres dokumenti ir iesniegti būvvaldē</w:t>
            </w:r>
            <w:r w:rsidR="00062C79">
              <w:rPr>
                <w:rFonts w:ascii="Times New Roman" w:hAnsi="Times New Roman"/>
                <w:color w:val="000000"/>
                <w:sz w:val="22"/>
              </w:rPr>
              <w:t>,</w:t>
            </w:r>
            <w:r w:rsidR="006447A1">
              <w:rPr>
                <w:rFonts w:ascii="Times New Roman" w:hAnsi="Times New Roman"/>
                <w:color w:val="000000"/>
                <w:sz w:val="22"/>
              </w:rPr>
              <w:t xml:space="preserve"> tad tas ir jānorāda projekta iesniegum</w:t>
            </w:r>
            <w:r w:rsidR="0029147B">
              <w:rPr>
                <w:rFonts w:ascii="Times New Roman" w:hAnsi="Times New Roman"/>
                <w:color w:val="000000"/>
                <w:sz w:val="22"/>
              </w:rPr>
              <w:t>a veidlapā</w:t>
            </w:r>
            <w:r w:rsidR="006447A1">
              <w:rPr>
                <w:rFonts w:ascii="Times New Roman" w:hAnsi="Times New Roman"/>
                <w:color w:val="000000"/>
                <w:sz w:val="22"/>
              </w:rPr>
              <w:t xml:space="preserve">. </w:t>
            </w:r>
            <w:r w:rsidR="000672E7">
              <w:rPr>
                <w:rFonts w:ascii="Times New Roman" w:hAnsi="Times New Roman"/>
                <w:color w:val="000000"/>
                <w:sz w:val="22"/>
              </w:rPr>
              <w:t>Nepieciešams</w:t>
            </w:r>
            <w:r w:rsidR="006447A1">
              <w:rPr>
                <w:rFonts w:ascii="Times New Roman" w:hAnsi="Times New Roman"/>
                <w:color w:val="000000"/>
                <w:sz w:val="22"/>
              </w:rPr>
              <w:t xml:space="preserve"> pārliecināties vai būvniecības dokumentācija ir publiski pieejama </w:t>
            </w:r>
            <w:hyperlink r:id="rId10" w:history="1">
              <w:r w:rsidR="006447A1" w:rsidRPr="0060319A">
                <w:rPr>
                  <w:color w:val="000000"/>
                  <w:sz w:val="24"/>
                </w:rPr>
                <w:t>un</w:t>
              </w:r>
            </w:hyperlink>
            <w:r w:rsidR="000672E7">
              <w:rPr>
                <w:rFonts w:ascii="Times New Roman" w:hAnsi="Times New Roman"/>
                <w:color w:val="000000"/>
                <w:sz w:val="22"/>
              </w:rPr>
              <w:t xml:space="preserve"> projekta iesniegum</w:t>
            </w:r>
            <w:r w:rsidR="0029147B">
              <w:rPr>
                <w:rFonts w:ascii="Times New Roman" w:hAnsi="Times New Roman"/>
                <w:color w:val="000000"/>
                <w:sz w:val="22"/>
              </w:rPr>
              <w:t>a veidlapā</w:t>
            </w:r>
            <w:r w:rsidR="006447A1" w:rsidRPr="006447A1">
              <w:rPr>
                <w:rFonts w:ascii="Times New Roman" w:hAnsi="Times New Roman"/>
                <w:color w:val="000000"/>
                <w:sz w:val="22"/>
              </w:rPr>
              <w:t xml:space="preserve"> norādīt tā</w:t>
            </w:r>
            <w:r w:rsidR="0029147B">
              <w:rPr>
                <w:rFonts w:ascii="Times New Roman" w:hAnsi="Times New Roman"/>
                <w:color w:val="000000"/>
                <w:sz w:val="22"/>
              </w:rPr>
              <w:t>s</w:t>
            </w:r>
            <w:r w:rsidR="006447A1">
              <w:rPr>
                <w:rFonts w:ascii="Times New Roman" w:hAnsi="Times New Roman"/>
                <w:color w:val="000000"/>
                <w:sz w:val="22"/>
              </w:rPr>
              <w:t xml:space="preserve"> </w:t>
            </w:r>
            <w:r w:rsidR="0091551B">
              <w:rPr>
                <w:rFonts w:ascii="Times New Roman" w:hAnsi="Times New Roman"/>
                <w:color w:val="000000"/>
                <w:sz w:val="22"/>
              </w:rPr>
              <w:t>atrašanās vietu</w:t>
            </w:r>
            <w:r w:rsidR="006447A1">
              <w:rPr>
                <w:rFonts w:ascii="Times New Roman" w:hAnsi="Times New Roman"/>
                <w:color w:val="000000"/>
                <w:sz w:val="22"/>
              </w:rPr>
              <w:t>, kā arī</w:t>
            </w:r>
            <w:r w:rsidR="000A3CC4" w:rsidRPr="000A3CC4">
              <w:rPr>
                <w:rFonts w:ascii="Times New Roman" w:hAnsi="Times New Roman"/>
                <w:color w:val="000000"/>
                <w:sz w:val="22"/>
              </w:rPr>
              <w:t xml:space="preserve"> projekta iesniedzēji var</w:t>
            </w:r>
            <w:r w:rsidR="0091551B">
              <w:rPr>
                <w:rFonts w:ascii="Times New Roman" w:hAnsi="Times New Roman"/>
                <w:color w:val="000000"/>
                <w:sz w:val="22"/>
              </w:rPr>
              <w:t xml:space="preserve"> </w:t>
            </w:r>
            <w:r w:rsidR="000A3CC4" w:rsidRPr="000A3CC4">
              <w:rPr>
                <w:rFonts w:ascii="Times New Roman" w:hAnsi="Times New Roman"/>
                <w:color w:val="000000"/>
                <w:sz w:val="22"/>
              </w:rPr>
              <w:t xml:space="preserve">iesniegt </w:t>
            </w:r>
            <w:r w:rsidR="00406B61">
              <w:rPr>
                <w:rFonts w:ascii="Times New Roman" w:hAnsi="Times New Roman"/>
                <w:color w:val="000000"/>
                <w:sz w:val="22"/>
              </w:rPr>
              <w:t>būvniecības</w:t>
            </w:r>
            <w:r w:rsidR="000A3CC4" w:rsidRPr="000A3CC4">
              <w:rPr>
                <w:rFonts w:ascii="Times New Roman" w:hAnsi="Times New Roman"/>
                <w:color w:val="000000"/>
                <w:sz w:val="22"/>
              </w:rPr>
              <w:t xml:space="preserve"> dokumentus</w:t>
            </w:r>
            <w:r w:rsidR="0029147B">
              <w:rPr>
                <w:rFonts w:ascii="Times New Roman" w:hAnsi="Times New Roman"/>
                <w:color w:val="000000"/>
                <w:sz w:val="22"/>
              </w:rPr>
              <w:t xml:space="preserve"> kā projekta iesnieguma pielikumu</w:t>
            </w:r>
            <w:r w:rsidR="00406B61">
              <w:rPr>
                <w:rFonts w:ascii="Times New Roman" w:hAnsi="Times New Roman"/>
                <w:color w:val="000000"/>
                <w:sz w:val="22"/>
              </w:rPr>
              <w:t xml:space="preserve"> </w:t>
            </w:r>
            <w:r w:rsidR="000A3CC4" w:rsidRPr="000A3CC4">
              <w:rPr>
                <w:rFonts w:ascii="Times New Roman" w:hAnsi="Times New Roman"/>
                <w:color w:val="000000"/>
                <w:sz w:val="22"/>
              </w:rPr>
              <w:t xml:space="preserve">pat, ja tie ir iesniegti </w:t>
            </w:r>
            <w:r w:rsidR="00406B61">
              <w:rPr>
                <w:rFonts w:ascii="Times New Roman" w:hAnsi="Times New Roman"/>
                <w:color w:val="000000"/>
                <w:sz w:val="22"/>
              </w:rPr>
              <w:t xml:space="preserve">attiecīgajā </w:t>
            </w:r>
            <w:r w:rsidR="000A3CC4" w:rsidRPr="000A3CC4">
              <w:rPr>
                <w:rFonts w:ascii="Times New Roman" w:hAnsi="Times New Roman"/>
                <w:color w:val="000000"/>
                <w:sz w:val="22"/>
              </w:rPr>
              <w:t>būvvaldē</w:t>
            </w:r>
            <w:r w:rsidR="000A3CC4">
              <w:rPr>
                <w:rFonts w:ascii="Times New Roman" w:hAnsi="Times New Roman"/>
                <w:color w:val="000000"/>
                <w:sz w:val="22"/>
              </w:rPr>
              <w:t>.</w:t>
            </w:r>
          </w:p>
        </w:tc>
      </w:tr>
      <w:tr w:rsidR="007B520A" w:rsidRPr="007B520A" w14:paraId="62018FB7" w14:textId="77777777" w:rsidTr="00F6138F">
        <w:trPr>
          <w:cantSplit/>
        </w:trPr>
        <w:tc>
          <w:tcPr>
            <w:tcW w:w="645" w:type="dxa"/>
          </w:tcPr>
          <w:p w14:paraId="74DBA2C3" w14:textId="70F356FD" w:rsidR="007B520A" w:rsidRPr="007B520A" w:rsidRDefault="007B520A" w:rsidP="00AB59BD">
            <w:pPr>
              <w:jc w:val="center"/>
              <w:rPr>
                <w:rFonts w:ascii="Times New Roman" w:hAnsi="Times New Roman"/>
                <w:sz w:val="22"/>
              </w:rPr>
            </w:pPr>
            <w:r w:rsidRPr="007B520A">
              <w:rPr>
                <w:rFonts w:ascii="Times New Roman" w:hAnsi="Times New Roman"/>
                <w:sz w:val="22"/>
              </w:rPr>
              <w:t>6.</w:t>
            </w:r>
          </w:p>
        </w:tc>
        <w:tc>
          <w:tcPr>
            <w:tcW w:w="6754" w:type="dxa"/>
          </w:tcPr>
          <w:p w14:paraId="2900051B" w14:textId="33DAA60E" w:rsidR="007B520A" w:rsidRPr="007B520A" w:rsidRDefault="007B520A" w:rsidP="007B520A">
            <w:pPr>
              <w:autoSpaceDE w:val="0"/>
              <w:autoSpaceDN w:val="0"/>
              <w:jc w:val="both"/>
              <w:rPr>
                <w:rFonts w:ascii="Times New Roman" w:hAnsi="Times New Roman"/>
                <w:color w:val="000000"/>
                <w:sz w:val="22"/>
              </w:rPr>
            </w:pPr>
            <w:r w:rsidRPr="007B520A">
              <w:rPr>
                <w:rFonts w:ascii="Times New Roman" w:hAnsi="Times New Roman"/>
                <w:color w:val="000000"/>
                <w:sz w:val="22"/>
              </w:rPr>
              <w:t>Ja uz projekta iesnieguma iesniegšanas dienu Vides investīciju fondā tiks izsludināts iepirkums par būvdarbu veikšanu, vai tādā gadījumā neatkarīga eksperta ēku energoefektivitātes jomā izstrādātu ēkas energosertifikātu (tajā skaitā pārskatu par ēkas energosertifikāta aprēķinos izmantotajām ievaddatu vērtībām saskaņā ar šo noteikumu 1.pielikumu (attiecināms uz ēkas pārbūvi vai atjaunošanu) vai 2.pielikumu (attiecināms uz jaunbūvi)) nav jāpievieno Projekta iesniegumam, bet pārskatam par ēkas energosertifikāta aprēķinos izmantotajām ievaddatu vērtībām jābūt iekļautam būvprojektā (kurš netiek iesniegts kopā ar Projekta iesniegumu, ja ir iesniegts būvvaldē)?</w:t>
            </w:r>
          </w:p>
        </w:tc>
        <w:tc>
          <w:tcPr>
            <w:tcW w:w="7227" w:type="dxa"/>
          </w:tcPr>
          <w:p w14:paraId="00D0B6CD" w14:textId="21B13F8C" w:rsidR="007B520A" w:rsidRPr="007B520A" w:rsidRDefault="00922DF7" w:rsidP="00A81D9C">
            <w:pPr>
              <w:jc w:val="both"/>
              <w:rPr>
                <w:rFonts w:ascii="Times New Roman" w:hAnsi="Times New Roman"/>
                <w:color w:val="000000"/>
                <w:sz w:val="22"/>
              </w:rPr>
            </w:pPr>
            <w:r>
              <w:rPr>
                <w:rFonts w:ascii="Times New Roman" w:hAnsi="Times New Roman"/>
                <w:color w:val="000000"/>
                <w:sz w:val="22"/>
              </w:rPr>
              <w:t xml:space="preserve">Saskaņā ar </w:t>
            </w:r>
            <w:r w:rsidR="007B520A" w:rsidRPr="007B520A">
              <w:rPr>
                <w:rFonts w:ascii="Times New Roman" w:hAnsi="Times New Roman"/>
                <w:color w:val="000000"/>
                <w:sz w:val="22"/>
              </w:rPr>
              <w:t>MK noteikumi Nr.69</w:t>
            </w:r>
            <w:r w:rsidR="007B520A">
              <w:rPr>
                <w:rFonts w:ascii="Times New Roman" w:hAnsi="Times New Roman"/>
                <w:color w:val="000000"/>
                <w:sz w:val="22"/>
              </w:rPr>
              <w:t xml:space="preserve"> </w:t>
            </w:r>
            <w:r w:rsidR="007B520A" w:rsidRPr="007B520A">
              <w:rPr>
                <w:rFonts w:ascii="Times New Roman" w:hAnsi="Times New Roman"/>
                <w:color w:val="000000"/>
                <w:sz w:val="22"/>
              </w:rPr>
              <w:t>43.2.4.2.</w:t>
            </w:r>
            <w:r w:rsidR="007B520A">
              <w:rPr>
                <w:rFonts w:ascii="Times New Roman" w:hAnsi="Times New Roman"/>
                <w:color w:val="000000"/>
                <w:sz w:val="22"/>
              </w:rPr>
              <w:t xml:space="preserve"> punkt</w:t>
            </w:r>
            <w:r>
              <w:rPr>
                <w:rFonts w:ascii="Times New Roman" w:hAnsi="Times New Roman"/>
                <w:color w:val="000000"/>
                <w:sz w:val="22"/>
              </w:rPr>
              <w:t>u, j</w:t>
            </w:r>
            <w:r w:rsidRPr="00922DF7">
              <w:rPr>
                <w:rFonts w:ascii="Times New Roman" w:hAnsi="Times New Roman"/>
                <w:color w:val="000000"/>
                <w:sz w:val="22"/>
              </w:rPr>
              <w:t xml:space="preserve">a uz projekta iesnieguma iesniegšanas dienu Vides investīciju fondā </w:t>
            </w:r>
            <w:r w:rsidRPr="00922DF7">
              <w:rPr>
                <w:rFonts w:ascii="Times New Roman" w:hAnsi="Times New Roman"/>
                <w:b/>
                <w:color w:val="000000"/>
                <w:sz w:val="22"/>
              </w:rPr>
              <w:t>ir izsludināti</w:t>
            </w:r>
            <w:r w:rsidRPr="00922DF7">
              <w:rPr>
                <w:rFonts w:ascii="Times New Roman" w:hAnsi="Times New Roman"/>
                <w:color w:val="000000"/>
                <w:sz w:val="22"/>
              </w:rPr>
              <w:t xml:space="preserve"> attiecīgi iepirkumi par būvdarbu veikšanu</w:t>
            </w:r>
            <w:r>
              <w:rPr>
                <w:rFonts w:ascii="Times New Roman" w:hAnsi="Times New Roman"/>
                <w:color w:val="000000"/>
                <w:sz w:val="22"/>
              </w:rPr>
              <w:t>, tad p</w:t>
            </w:r>
            <w:r w:rsidRPr="00922DF7">
              <w:rPr>
                <w:rFonts w:ascii="Times New Roman" w:hAnsi="Times New Roman"/>
                <w:color w:val="000000"/>
                <w:sz w:val="22"/>
              </w:rPr>
              <w:t>ārskat</w:t>
            </w:r>
            <w:r>
              <w:rPr>
                <w:rFonts w:ascii="Times New Roman" w:hAnsi="Times New Roman"/>
                <w:color w:val="000000"/>
                <w:sz w:val="22"/>
              </w:rPr>
              <w:t>u</w:t>
            </w:r>
            <w:r w:rsidRPr="00922DF7">
              <w:rPr>
                <w:rFonts w:ascii="Times New Roman" w:hAnsi="Times New Roman"/>
                <w:color w:val="000000"/>
                <w:sz w:val="22"/>
              </w:rPr>
              <w:t xml:space="preserve"> par ēkas energosertifikāta aprēķinos izmantotajām ievaddatu vērtībām</w:t>
            </w:r>
            <w:r>
              <w:rPr>
                <w:rFonts w:ascii="Times New Roman" w:hAnsi="Times New Roman"/>
                <w:color w:val="000000"/>
                <w:sz w:val="22"/>
              </w:rPr>
              <w:t xml:space="preserve"> var neiesniegt, ja minētā informācija ir norādīta citos dokumentos</w:t>
            </w:r>
            <w:r w:rsidR="006447A1">
              <w:rPr>
                <w:rFonts w:ascii="Times New Roman" w:hAnsi="Times New Roman"/>
                <w:color w:val="000000"/>
                <w:sz w:val="22"/>
              </w:rPr>
              <w:t xml:space="preserve"> (būvprojektā, apliecinājuma kartes vai paskaidrojuma raksta dokumentos). Gadījumā, ja būvprojekts ir iesniegts tikai būvvaldē</w:t>
            </w:r>
            <w:r w:rsidR="0060319A">
              <w:rPr>
                <w:rFonts w:ascii="Times New Roman" w:hAnsi="Times New Roman"/>
                <w:color w:val="000000"/>
                <w:sz w:val="22"/>
              </w:rPr>
              <w:t>,</w:t>
            </w:r>
            <w:r w:rsidR="006447A1">
              <w:rPr>
                <w:rFonts w:ascii="Times New Roman" w:hAnsi="Times New Roman"/>
                <w:color w:val="000000"/>
                <w:sz w:val="22"/>
              </w:rPr>
              <w:t xml:space="preserve"> proje</w:t>
            </w:r>
            <w:r w:rsidR="00406B61">
              <w:rPr>
                <w:rFonts w:ascii="Times New Roman" w:hAnsi="Times New Roman"/>
                <w:color w:val="000000"/>
                <w:sz w:val="22"/>
              </w:rPr>
              <w:t>kta iesniedzējam jānodrošina dokumentācija</w:t>
            </w:r>
            <w:r w:rsidR="0060319A">
              <w:rPr>
                <w:rFonts w:ascii="Times New Roman" w:hAnsi="Times New Roman"/>
                <w:color w:val="000000"/>
                <w:sz w:val="22"/>
              </w:rPr>
              <w:t>,</w:t>
            </w:r>
            <w:r w:rsidR="00406B61">
              <w:rPr>
                <w:rFonts w:ascii="Times New Roman" w:hAnsi="Times New Roman"/>
                <w:color w:val="000000"/>
                <w:sz w:val="22"/>
              </w:rPr>
              <w:t xml:space="preserve"> pēc kuras</w:t>
            </w:r>
            <w:r w:rsidR="006447A1">
              <w:rPr>
                <w:rFonts w:ascii="Times New Roman" w:hAnsi="Times New Roman"/>
                <w:color w:val="000000"/>
                <w:sz w:val="22"/>
              </w:rPr>
              <w:t xml:space="preserve"> projektu iesniegumu vērtēšanas komisija </w:t>
            </w:r>
            <w:r w:rsidR="00406B61">
              <w:rPr>
                <w:rFonts w:ascii="Times New Roman" w:hAnsi="Times New Roman"/>
                <w:color w:val="000000"/>
                <w:sz w:val="22"/>
              </w:rPr>
              <w:t>var pārliecināties par</w:t>
            </w:r>
            <w:r w:rsidR="00A81D9C">
              <w:rPr>
                <w:rFonts w:ascii="Times New Roman" w:hAnsi="Times New Roman"/>
                <w:color w:val="000000"/>
                <w:sz w:val="22"/>
              </w:rPr>
              <w:t xml:space="preserve"> pārskatā par ēkas energosertifikāta aprēķinos izmantotajām ievaddatu vērtībām </w:t>
            </w:r>
            <w:r w:rsidR="00406B61">
              <w:rPr>
                <w:rFonts w:ascii="Times New Roman" w:hAnsi="Times New Roman"/>
                <w:color w:val="000000"/>
                <w:sz w:val="22"/>
              </w:rPr>
              <w:t>norādītās informācijas un izmantotās aprēķina metodikas korektumu.</w:t>
            </w:r>
          </w:p>
        </w:tc>
      </w:tr>
      <w:tr w:rsidR="007B520A" w:rsidRPr="00DD3A2F" w14:paraId="29B30043" w14:textId="77777777" w:rsidTr="00F6138F">
        <w:trPr>
          <w:cantSplit/>
        </w:trPr>
        <w:tc>
          <w:tcPr>
            <w:tcW w:w="645" w:type="dxa"/>
          </w:tcPr>
          <w:p w14:paraId="072BBCC1" w14:textId="65FA2076" w:rsidR="007B520A" w:rsidRPr="007B520A" w:rsidRDefault="007B520A" w:rsidP="00AB59BD">
            <w:pPr>
              <w:jc w:val="center"/>
              <w:rPr>
                <w:rFonts w:ascii="Times New Roman" w:hAnsi="Times New Roman"/>
                <w:sz w:val="22"/>
              </w:rPr>
            </w:pPr>
            <w:r w:rsidRPr="007B520A">
              <w:rPr>
                <w:rFonts w:ascii="Times New Roman" w:hAnsi="Times New Roman"/>
                <w:sz w:val="22"/>
              </w:rPr>
              <w:t>7.</w:t>
            </w:r>
          </w:p>
        </w:tc>
        <w:tc>
          <w:tcPr>
            <w:tcW w:w="6754" w:type="dxa"/>
          </w:tcPr>
          <w:p w14:paraId="33F4EDC3" w14:textId="0A6BD5EA" w:rsidR="007B520A" w:rsidRPr="007B520A" w:rsidRDefault="007B520A" w:rsidP="00DD3A2F">
            <w:pPr>
              <w:autoSpaceDE w:val="0"/>
              <w:autoSpaceDN w:val="0"/>
              <w:jc w:val="both"/>
              <w:rPr>
                <w:rFonts w:ascii="Times New Roman" w:hAnsi="Times New Roman"/>
                <w:color w:val="000000"/>
                <w:sz w:val="22"/>
              </w:rPr>
            </w:pPr>
            <w:r w:rsidRPr="007B520A">
              <w:rPr>
                <w:rFonts w:ascii="Times New Roman" w:hAnsi="Times New Roman"/>
                <w:color w:val="000000"/>
                <w:sz w:val="22"/>
              </w:rPr>
              <w:t>Vai Projekta iesniedzējs drīkst mainīt Vadlīnijās projektu iesniedzējiem 7.pielikumā doto Lēmuma parauga tekstu (arī tās vietas, kas nav atzīmētas kā aizpildāmas/maināmas atbilstoši projekta datiem un izmaksām)?</w:t>
            </w:r>
          </w:p>
        </w:tc>
        <w:tc>
          <w:tcPr>
            <w:tcW w:w="7227" w:type="dxa"/>
          </w:tcPr>
          <w:p w14:paraId="56522DC7" w14:textId="4E43EAB3" w:rsidR="007B520A" w:rsidRPr="007B520A" w:rsidRDefault="00F66883" w:rsidP="00F66883">
            <w:pPr>
              <w:jc w:val="both"/>
              <w:rPr>
                <w:rFonts w:ascii="Times New Roman" w:hAnsi="Times New Roman"/>
                <w:color w:val="000000"/>
                <w:sz w:val="22"/>
              </w:rPr>
            </w:pPr>
            <w:r>
              <w:rPr>
                <w:rFonts w:ascii="Times New Roman" w:hAnsi="Times New Roman"/>
                <w:color w:val="000000"/>
                <w:sz w:val="22"/>
              </w:rPr>
              <w:t>Informējam, ka p</w:t>
            </w:r>
            <w:r w:rsidR="007B520A" w:rsidRPr="007B520A">
              <w:rPr>
                <w:rFonts w:ascii="Times New Roman" w:hAnsi="Times New Roman"/>
                <w:color w:val="000000"/>
                <w:sz w:val="22"/>
              </w:rPr>
              <w:t>rojekta iesniedzējs drīkst mainīt 7. pielikum</w:t>
            </w:r>
            <w:r w:rsidR="007B520A">
              <w:rPr>
                <w:rFonts w:ascii="Times New Roman" w:hAnsi="Times New Roman"/>
                <w:color w:val="000000"/>
                <w:sz w:val="22"/>
              </w:rPr>
              <w:t xml:space="preserve">ā dotā lēmuma parauga tekstu, </w:t>
            </w:r>
            <w:r>
              <w:rPr>
                <w:rFonts w:ascii="Times New Roman" w:hAnsi="Times New Roman"/>
                <w:color w:val="000000"/>
                <w:sz w:val="22"/>
              </w:rPr>
              <w:t xml:space="preserve">jo tā ir tikai ieteicamā forma, </w:t>
            </w:r>
            <w:r w:rsidR="007B520A">
              <w:rPr>
                <w:rFonts w:ascii="Times New Roman" w:hAnsi="Times New Roman"/>
                <w:color w:val="000000"/>
                <w:sz w:val="22"/>
              </w:rPr>
              <w:t xml:space="preserve">nodrošinot, ka </w:t>
            </w:r>
            <w:r>
              <w:rPr>
                <w:rFonts w:ascii="Times New Roman" w:hAnsi="Times New Roman"/>
                <w:color w:val="000000"/>
                <w:sz w:val="22"/>
              </w:rPr>
              <w:t xml:space="preserve">projekta iesniedzēja </w:t>
            </w:r>
            <w:r w:rsidR="007B520A">
              <w:rPr>
                <w:rFonts w:ascii="Times New Roman" w:hAnsi="Times New Roman"/>
                <w:color w:val="000000"/>
                <w:sz w:val="22"/>
              </w:rPr>
              <w:t xml:space="preserve">lēmumā ir ievērotas </w:t>
            </w:r>
            <w:r w:rsidR="007B520A" w:rsidRPr="007B520A">
              <w:rPr>
                <w:rFonts w:ascii="Times New Roman" w:hAnsi="Times New Roman"/>
                <w:color w:val="000000"/>
                <w:sz w:val="22"/>
              </w:rPr>
              <w:t>MK noteikum</w:t>
            </w:r>
            <w:r>
              <w:rPr>
                <w:rFonts w:ascii="Times New Roman" w:hAnsi="Times New Roman"/>
                <w:color w:val="000000"/>
                <w:sz w:val="22"/>
              </w:rPr>
              <w:t>u</w:t>
            </w:r>
            <w:r w:rsidR="007B520A" w:rsidRPr="007B520A">
              <w:rPr>
                <w:rFonts w:ascii="Times New Roman" w:hAnsi="Times New Roman"/>
                <w:color w:val="000000"/>
                <w:sz w:val="22"/>
              </w:rPr>
              <w:t xml:space="preserve"> Nr.69</w:t>
            </w:r>
            <w:r w:rsidR="007B520A">
              <w:rPr>
                <w:rFonts w:ascii="Times New Roman" w:hAnsi="Times New Roman"/>
                <w:color w:val="000000"/>
                <w:sz w:val="22"/>
              </w:rPr>
              <w:t xml:space="preserve"> prasības norādīt</w:t>
            </w:r>
            <w:r w:rsidR="007B520A" w:rsidRPr="007B520A">
              <w:rPr>
                <w:rFonts w:ascii="Times New Roman" w:hAnsi="Times New Roman"/>
                <w:color w:val="000000"/>
                <w:sz w:val="22"/>
              </w:rPr>
              <w:t xml:space="preserve"> projekta kopējās izmaksas, projekta attiecināmās izmaksas, tai skaitā izdalot finanšu instrumenta finansējumu un projekta iesniedzēja līdzfinansējuma apjomu un neattiecināmās izmaksas, kā arī ietverts apliecinājums</w:t>
            </w:r>
            <w:r w:rsidR="00C87057">
              <w:rPr>
                <w:rFonts w:ascii="Times New Roman" w:hAnsi="Times New Roman"/>
                <w:color w:val="000000"/>
                <w:sz w:val="22"/>
              </w:rPr>
              <w:t xml:space="preserve"> no kādiem finanšu līdzekļiem (pašu vai aizņēmuma)</w:t>
            </w:r>
            <w:r w:rsidR="007B520A" w:rsidRPr="007B520A">
              <w:rPr>
                <w:rFonts w:ascii="Times New Roman" w:hAnsi="Times New Roman"/>
                <w:color w:val="000000"/>
                <w:sz w:val="22"/>
              </w:rPr>
              <w:t xml:space="preserve"> projekta iesniedzējs nodrošinās finansējumu projekta kopējo attiecināmo un projekta kopējo neattiecināmo izmaksu segšanai</w:t>
            </w:r>
            <w:r w:rsidR="007B520A">
              <w:rPr>
                <w:rFonts w:ascii="Times New Roman" w:hAnsi="Times New Roman"/>
                <w:color w:val="000000"/>
                <w:sz w:val="22"/>
              </w:rPr>
              <w:t>.</w:t>
            </w:r>
          </w:p>
        </w:tc>
      </w:tr>
      <w:tr w:rsidR="00721B5A" w:rsidRPr="00721B5A" w14:paraId="6FC95AAD" w14:textId="77777777" w:rsidTr="00F6138F">
        <w:trPr>
          <w:cantSplit/>
        </w:trPr>
        <w:tc>
          <w:tcPr>
            <w:tcW w:w="645" w:type="dxa"/>
          </w:tcPr>
          <w:p w14:paraId="2F6F4772" w14:textId="6DB3E3A8" w:rsidR="00721B5A" w:rsidRPr="00721B5A" w:rsidRDefault="00721B5A" w:rsidP="00AB59BD">
            <w:pPr>
              <w:jc w:val="center"/>
              <w:rPr>
                <w:rFonts w:ascii="Times New Roman" w:hAnsi="Times New Roman"/>
                <w:sz w:val="22"/>
              </w:rPr>
            </w:pPr>
            <w:r w:rsidRPr="00721B5A">
              <w:rPr>
                <w:rFonts w:ascii="Times New Roman" w:hAnsi="Times New Roman"/>
                <w:sz w:val="22"/>
              </w:rPr>
              <w:lastRenderedPageBreak/>
              <w:t>8.</w:t>
            </w:r>
          </w:p>
        </w:tc>
        <w:tc>
          <w:tcPr>
            <w:tcW w:w="6754" w:type="dxa"/>
          </w:tcPr>
          <w:p w14:paraId="75BBBC05" w14:textId="27B9151B" w:rsidR="00721B5A" w:rsidRPr="00721B5A" w:rsidRDefault="00721B5A" w:rsidP="00721B5A">
            <w:pPr>
              <w:autoSpaceDE w:val="0"/>
              <w:autoSpaceDN w:val="0"/>
              <w:jc w:val="both"/>
              <w:rPr>
                <w:rFonts w:ascii="Times New Roman" w:hAnsi="Times New Roman"/>
                <w:color w:val="000000"/>
                <w:sz w:val="22"/>
              </w:rPr>
            </w:pPr>
            <w:r>
              <w:rPr>
                <w:rFonts w:ascii="Times New Roman" w:hAnsi="Times New Roman"/>
                <w:color w:val="000000"/>
                <w:sz w:val="22"/>
              </w:rPr>
              <w:t xml:space="preserve">Ja ēkai un telpu grupai </w:t>
            </w:r>
            <w:r w:rsidRPr="00721B5A">
              <w:rPr>
                <w:rFonts w:ascii="Times New Roman" w:hAnsi="Times New Roman"/>
                <w:color w:val="000000"/>
                <w:sz w:val="22"/>
              </w:rPr>
              <w:t>noteikts funkciju sadalījums kods 1263, kaut gan izglītības iestādes ēkā ir gan aktu zāle, gan bibliotēka.</w:t>
            </w:r>
          </w:p>
          <w:p w14:paraId="3E28EFEC" w14:textId="77777777" w:rsidR="00721B5A" w:rsidRPr="00721B5A" w:rsidRDefault="00721B5A" w:rsidP="00721B5A">
            <w:pPr>
              <w:autoSpaceDE w:val="0"/>
              <w:autoSpaceDN w:val="0"/>
              <w:jc w:val="both"/>
              <w:rPr>
                <w:rFonts w:ascii="Times New Roman" w:hAnsi="Times New Roman"/>
                <w:color w:val="000000"/>
                <w:sz w:val="22"/>
              </w:rPr>
            </w:pPr>
            <w:r w:rsidRPr="00721B5A">
              <w:rPr>
                <w:rFonts w:ascii="Times New Roman" w:hAnsi="Times New Roman"/>
                <w:color w:val="000000"/>
                <w:sz w:val="22"/>
              </w:rPr>
              <w:t>Saskaņā ar MK noteikumi Nr.1620 Rīgā 2009.gada 22.decembrī (prot. Nr.89 175.§) Noteikumi par būvju klasifikāciju</w:t>
            </w:r>
          </w:p>
          <w:p w14:paraId="4388FDFC" w14:textId="77777777" w:rsidR="00721B5A" w:rsidRPr="00721B5A" w:rsidRDefault="00721B5A" w:rsidP="00721B5A">
            <w:pPr>
              <w:autoSpaceDE w:val="0"/>
              <w:autoSpaceDN w:val="0"/>
              <w:jc w:val="both"/>
              <w:rPr>
                <w:rFonts w:ascii="Times New Roman" w:hAnsi="Times New Roman"/>
                <w:color w:val="000000"/>
                <w:sz w:val="22"/>
              </w:rPr>
            </w:pPr>
            <w:r w:rsidRPr="00721B5A">
              <w:rPr>
                <w:rFonts w:ascii="Times New Roman" w:hAnsi="Times New Roman"/>
                <w:color w:val="000000"/>
                <w:sz w:val="22"/>
              </w:rPr>
              <w:t>5.pantu: Būves un telpu grupas klasificē atbilstoši lietošanas veidam (funkcijai). Būves, kuras ekspluatē vai projektē vairākiem lietošanas veidiem, iekļauj vienā noteiktā klasifikācijas pozīcijā pēc to galvenā lietošanas veida.</w:t>
            </w:r>
          </w:p>
          <w:p w14:paraId="5B14BE86" w14:textId="798490CC" w:rsidR="00721B5A" w:rsidRPr="00721B5A" w:rsidRDefault="00721B5A" w:rsidP="00721B5A">
            <w:pPr>
              <w:autoSpaceDE w:val="0"/>
              <w:autoSpaceDN w:val="0"/>
              <w:jc w:val="both"/>
              <w:rPr>
                <w:rFonts w:ascii="Times New Roman" w:hAnsi="Times New Roman"/>
                <w:color w:val="000000"/>
                <w:sz w:val="22"/>
              </w:rPr>
            </w:pPr>
            <w:r w:rsidRPr="00721B5A">
              <w:rPr>
                <w:rFonts w:ascii="Times New Roman" w:hAnsi="Times New Roman"/>
                <w:color w:val="000000"/>
                <w:sz w:val="22"/>
              </w:rPr>
              <w:t>Vai ir iespējams piedalīties Emisijas kvotu izsolīšanas instrumenta finansēto projektu atklāta konkursā “Siltumnīcefekta gāzu emisiju samazināšana – zema enerģijas patēriņa ēkas”?</w:t>
            </w:r>
          </w:p>
        </w:tc>
        <w:tc>
          <w:tcPr>
            <w:tcW w:w="7227" w:type="dxa"/>
          </w:tcPr>
          <w:p w14:paraId="3B107C88" w14:textId="77777777" w:rsidR="00351010" w:rsidRPr="00351010" w:rsidRDefault="00351010" w:rsidP="00351010">
            <w:pPr>
              <w:jc w:val="both"/>
              <w:rPr>
                <w:rFonts w:ascii="Times New Roman" w:hAnsi="Times New Roman"/>
                <w:color w:val="000000"/>
                <w:sz w:val="22"/>
              </w:rPr>
            </w:pPr>
            <w:r w:rsidRPr="00351010">
              <w:rPr>
                <w:rFonts w:ascii="Times New Roman" w:hAnsi="Times New Roman"/>
                <w:color w:val="000000"/>
                <w:sz w:val="22"/>
              </w:rPr>
              <w:t xml:space="preserve">MK noteikumu Nr.69 17.1. punkts nosaka prasības ēkas klasifikācijai (izmantošanai), lai projekta iesniedzējs var pretendēt uz finanšu instrumenta finansējumu. </w:t>
            </w:r>
            <w:r w:rsidRPr="00351010">
              <w:rPr>
                <w:rFonts w:ascii="Times New Roman" w:hAnsi="Times New Roman"/>
                <w:b/>
                <w:bCs/>
                <w:color w:val="000000"/>
                <w:sz w:val="22"/>
              </w:rPr>
              <w:t>Projektu iesniedzējam ir jāpamato un projekta iesniegumam jāpievieno dokumenti</w:t>
            </w:r>
            <w:r w:rsidRPr="00351010">
              <w:rPr>
                <w:rFonts w:ascii="Times New Roman" w:hAnsi="Times New Roman"/>
                <w:color w:val="000000"/>
                <w:sz w:val="22"/>
              </w:rPr>
              <w:t xml:space="preserve">, </w:t>
            </w:r>
            <w:r w:rsidRPr="00351010">
              <w:rPr>
                <w:rFonts w:ascii="Times New Roman" w:hAnsi="Times New Roman"/>
                <w:b/>
                <w:bCs/>
                <w:color w:val="000000"/>
                <w:sz w:val="22"/>
              </w:rPr>
              <w:t>kas apliecina, ka ēkā</w:t>
            </w:r>
            <w:r w:rsidRPr="00351010">
              <w:rPr>
                <w:rFonts w:ascii="Times New Roman" w:hAnsi="Times New Roman"/>
                <w:color w:val="000000"/>
                <w:sz w:val="22"/>
              </w:rPr>
              <w:t xml:space="preserve"> papildus skolas, universitātes un zinātniskajai pētniecībai paredzētām funkcijām (kods 1263) </w:t>
            </w:r>
            <w:r w:rsidRPr="00351010">
              <w:rPr>
                <w:rFonts w:ascii="Times New Roman" w:hAnsi="Times New Roman"/>
                <w:b/>
                <w:bCs/>
                <w:color w:val="000000"/>
                <w:sz w:val="22"/>
              </w:rPr>
              <w:t xml:space="preserve">ne mazāk kā 20 % no ēkas platības izmanto </w:t>
            </w:r>
            <w:proofErr w:type="spellStart"/>
            <w:r w:rsidRPr="00351010">
              <w:rPr>
                <w:rFonts w:ascii="Times New Roman" w:hAnsi="Times New Roman"/>
                <w:b/>
                <w:bCs/>
                <w:color w:val="000000"/>
                <w:sz w:val="22"/>
              </w:rPr>
              <w:t>plašizklaides</w:t>
            </w:r>
            <w:proofErr w:type="spellEnd"/>
            <w:r w:rsidRPr="00351010">
              <w:rPr>
                <w:rFonts w:ascii="Times New Roman" w:hAnsi="Times New Roman"/>
                <w:b/>
                <w:bCs/>
                <w:color w:val="000000"/>
                <w:sz w:val="22"/>
              </w:rPr>
              <w:t xml:space="preserve"> pasākumiem</w:t>
            </w:r>
            <w:r w:rsidRPr="00351010">
              <w:rPr>
                <w:rFonts w:ascii="Times New Roman" w:hAnsi="Times New Roman"/>
                <w:color w:val="000000"/>
                <w:sz w:val="22"/>
              </w:rPr>
              <w:t xml:space="preserve"> (kods 1261). Piemēram, projekta iesniegumam var tikt pievienota spēkā esoša ēkas vai telpu grupas inventarizācijas lieta, kurā ir noradīts attiecīgo telpu lietošanas kods, bet projekta iesniegumā ir uzskaitīti </w:t>
            </w:r>
            <w:proofErr w:type="spellStart"/>
            <w:r w:rsidRPr="00351010">
              <w:rPr>
                <w:rFonts w:ascii="Times New Roman" w:hAnsi="Times New Roman"/>
                <w:color w:val="000000"/>
                <w:sz w:val="22"/>
              </w:rPr>
              <w:t>plašizklaides</w:t>
            </w:r>
            <w:proofErr w:type="spellEnd"/>
            <w:r w:rsidRPr="00351010">
              <w:rPr>
                <w:rFonts w:ascii="Times New Roman" w:hAnsi="Times New Roman"/>
                <w:color w:val="000000"/>
                <w:sz w:val="22"/>
              </w:rPr>
              <w:t xml:space="preserve"> pasākumiem, kas 2015. gadā notikuši ēkā un konkrētajās telpās.</w:t>
            </w:r>
          </w:p>
          <w:p w14:paraId="02864B72" w14:textId="77777777" w:rsidR="00351010" w:rsidRPr="00351010" w:rsidRDefault="00351010" w:rsidP="00351010">
            <w:pPr>
              <w:jc w:val="both"/>
              <w:rPr>
                <w:rFonts w:ascii="Times New Roman" w:hAnsi="Times New Roman"/>
                <w:color w:val="000000"/>
                <w:sz w:val="22"/>
              </w:rPr>
            </w:pPr>
          </w:p>
          <w:p w14:paraId="75090650" w14:textId="77777777" w:rsidR="00351010" w:rsidRPr="00351010" w:rsidRDefault="00351010" w:rsidP="00351010">
            <w:pPr>
              <w:jc w:val="both"/>
              <w:rPr>
                <w:rFonts w:ascii="Times New Roman" w:hAnsi="Times New Roman"/>
                <w:color w:val="000000"/>
                <w:sz w:val="22"/>
              </w:rPr>
            </w:pPr>
            <w:r w:rsidRPr="00351010">
              <w:rPr>
                <w:rFonts w:ascii="Times New Roman" w:hAnsi="Times New Roman"/>
                <w:color w:val="000000"/>
                <w:sz w:val="22"/>
              </w:rPr>
              <w:t xml:space="preserve">Saskaņā ar Ministru kabineta noteikumu Nr.1620 pielikumu, ar ēkām </w:t>
            </w:r>
            <w:proofErr w:type="spellStart"/>
            <w:r w:rsidRPr="00351010">
              <w:rPr>
                <w:rFonts w:ascii="Times New Roman" w:hAnsi="Times New Roman"/>
                <w:color w:val="000000"/>
                <w:sz w:val="22"/>
              </w:rPr>
              <w:t>plašizklaides</w:t>
            </w:r>
            <w:proofErr w:type="spellEnd"/>
            <w:r w:rsidRPr="00351010">
              <w:rPr>
                <w:rFonts w:ascii="Times New Roman" w:hAnsi="Times New Roman"/>
                <w:color w:val="000000"/>
                <w:sz w:val="22"/>
              </w:rPr>
              <w:t xml:space="preserve"> pasākumiem saprot:</w:t>
            </w:r>
          </w:p>
          <w:p w14:paraId="76442A37" w14:textId="77777777" w:rsidR="00351010" w:rsidRPr="00351010" w:rsidRDefault="00351010" w:rsidP="00351010">
            <w:pPr>
              <w:pStyle w:val="ListParagraph"/>
              <w:numPr>
                <w:ilvl w:val="0"/>
                <w:numId w:val="2"/>
              </w:numPr>
              <w:jc w:val="both"/>
              <w:rPr>
                <w:rFonts w:ascii="Times New Roman" w:hAnsi="Times New Roman"/>
                <w:color w:val="000000"/>
                <w:sz w:val="22"/>
              </w:rPr>
            </w:pPr>
            <w:r w:rsidRPr="00351010">
              <w:rPr>
                <w:rFonts w:ascii="Times New Roman" w:hAnsi="Times New Roman"/>
                <w:color w:val="000000"/>
                <w:sz w:val="22"/>
              </w:rPr>
              <w:t>Apjumtas vasaras estrādes, kuras netiek apkurinātas;</w:t>
            </w:r>
          </w:p>
          <w:p w14:paraId="45DDF9EA" w14:textId="30147A31" w:rsidR="00A126AE" w:rsidRPr="00351010" w:rsidRDefault="00351010" w:rsidP="00351010">
            <w:pPr>
              <w:pStyle w:val="ListParagraph"/>
              <w:numPr>
                <w:ilvl w:val="0"/>
                <w:numId w:val="2"/>
              </w:numPr>
              <w:jc w:val="both"/>
              <w:rPr>
                <w:color w:val="000000"/>
                <w:sz w:val="22"/>
              </w:rPr>
            </w:pPr>
            <w:r w:rsidRPr="00351010">
              <w:rPr>
                <w:rFonts w:ascii="Times New Roman" w:hAnsi="Times New Roman"/>
                <w:color w:val="000000"/>
                <w:sz w:val="22"/>
              </w:rPr>
              <w:t xml:space="preserve">Kinoteātri, koncertzāles, operu ēkas, teātri, sarīkojumu un universālās zāles, kas tiek izmantotas </w:t>
            </w:r>
            <w:proofErr w:type="spellStart"/>
            <w:r w:rsidRPr="00351010">
              <w:rPr>
                <w:rFonts w:ascii="Times New Roman" w:hAnsi="Times New Roman"/>
                <w:color w:val="000000"/>
                <w:sz w:val="22"/>
              </w:rPr>
              <w:t>plašizklaides</w:t>
            </w:r>
            <w:proofErr w:type="spellEnd"/>
            <w:r w:rsidRPr="00351010">
              <w:rPr>
                <w:rFonts w:ascii="Times New Roman" w:hAnsi="Times New Roman"/>
                <w:color w:val="000000"/>
                <w:sz w:val="22"/>
              </w:rPr>
              <w:t xml:space="preserve"> pasākumiem, kazino, cirki, mūzikas un deju zāles.</w:t>
            </w:r>
          </w:p>
        </w:tc>
      </w:tr>
      <w:tr w:rsidR="001A3142" w:rsidRPr="001A3142" w14:paraId="3D05D4D8" w14:textId="77777777" w:rsidTr="00F6138F">
        <w:trPr>
          <w:cantSplit/>
        </w:trPr>
        <w:tc>
          <w:tcPr>
            <w:tcW w:w="645" w:type="dxa"/>
          </w:tcPr>
          <w:p w14:paraId="3D043902" w14:textId="68AAED28" w:rsidR="001A3142" w:rsidRPr="001A3142" w:rsidRDefault="001A3142" w:rsidP="00AB59BD">
            <w:pPr>
              <w:jc w:val="center"/>
              <w:rPr>
                <w:rFonts w:ascii="Times New Roman" w:hAnsi="Times New Roman"/>
                <w:sz w:val="22"/>
              </w:rPr>
            </w:pPr>
            <w:r w:rsidRPr="001A3142">
              <w:rPr>
                <w:rFonts w:ascii="Times New Roman" w:hAnsi="Times New Roman"/>
                <w:sz w:val="22"/>
              </w:rPr>
              <w:t>9.</w:t>
            </w:r>
          </w:p>
        </w:tc>
        <w:tc>
          <w:tcPr>
            <w:tcW w:w="6754" w:type="dxa"/>
          </w:tcPr>
          <w:p w14:paraId="3B163C7E" w14:textId="32723C75"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Norādām, ka projektu iesniegumu veidlapas 4.1.nodaļā „Publicitātes pasākumu veidi” jāatzīmē, kāda veida publicitātes pasākumi tiks veikti projekta īstenošanas laikā. Viena no iespējām ir organizēt starptautiska mēroga publicitātes pasākumu.</w:t>
            </w:r>
          </w:p>
          <w:p w14:paraId="660BD75E" w14:textId="5F1B79F9"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Lūdzam skaidrot </w:t>
            </w:r>
            <w:r w:rsidRPr="001A3142">
              <w:rPr>
                <w:rFonts w:ascii="Times New Roman" w:hAnsi="Times New Roman"/>
                <w:b/>
                <w:color w:val="000000"/>
                <w:sz w:val="22"/>
              </w:rPr>
              <w:t>starptautiska mēroga publicitātes pasākuma</w:t>
            </w:r>
            <w:r w:rsidRPr="001A3142">
              <w:rPr>
                <w:rFonts w:ascii="Times New Roman" w:hAnsi="Times New Roman"/>
                <w:color w:val="000000"/>
                <w:sz w:val="22"/>
              </w:rPr>
              <w:t xml:space="preserve"> </w:t>
            </w:r>
            <w:r w:rsidRPr="001A3142">
              <w:rPr>
                <w:rFonts w:ascii="Times New Roman" w:hAnsi="Times New Roman"/>
                <w:b/>
                <w:color w:val="000000"/>
                <w:sz w:val="22"/>
              </w:rPr>
              <w:t>nozīmi šī konkursa ietvaros</w:t>
            </w:r>
            <w:r w:rsidRPr="001A3142">
              <w:rPr>
                <w:rFonts w:ascii="Times New Roman" w:hAnsi="Times New Roman"/>
                <w:color w:val="000000"/>
                <w:sz w:val="22"/>
              </w:rPr>
              <w:t xml:space="preserve"> – kurš no turpmāk minētājiem</w:t>
            </w:r>
            <w:proofErr w:type="gramStart"/>
            <w:r w:rsidRPr="001A3142">
              <w:rPr>
                <w:rFonts w:ascii="Times New Roman" w:hAnsi="Times New Roman"/>
                <w:color w:val="000000"/>
                <w:sz w:val="22"/>
              </w:rPr>
              <w:t xml:space="preserve">  </w:t>
            </w:r>
            <w:proofErr w:type="gramEnd"/>
            <w:r w:rsidRPr="001A3142">
              <w:rPr>
                <w:rFonts w:ascii="Times New Roman" w:hAnsi="Times New Roman"/>
                <w:color w:val="000000"/>
                <w:sz w:val="22"/>
              </w:rPr>
              <w:t>pasākumiem šī konkursa ietvaros  tiks uzskatīts par starptautisku: dalība starptautiska mēroga konferencēs, semināros, preses relīzes publicēšana sadarbības partnera (citas valsts) mājas lapā, projekta iesniedzēja dalība starptautiskās izstādēs, prezentējot projekta iesniedzēja piedāvājumu kopumā, ne tikai pašu objektu, informācijas par objektu iekļaušana bukletos, kas ietver arī citu informāciju par pilsētu/novadu, kurā plānots izveidot objektu un šo bukletu izplatīšana izstādēs, konferencēs u.tml. ar starptautisku auditoriju?</w:t>
            </w:r>
          </w:p>
        </w:tc>
        <w:tc>
          <w:tcPr>
            <w:tcW w:w="7227" w:type="dxa"/>
          </w:tcPr>
          <w:p w14:paraId="169CC7BC" w14:textId="10DA1FA6" w:rsidR="009B68EE" w:rsidRPr="009B68EE" w:rsidRDefault="00950B5C" w:rsidP="00C55BA8">
            <w:pPr>
              <w:jc w:val="both"/>
              <w:rPr>
                <w:rFonts w:ascii="Times New Roman" w:hAnsi="Times New Roman"/>
                <w:color w:val="000000"/>
                <w:sz w:val="22"/>
              </w:rPr>
            </w:pPr>
            <w:r w:rsidRPr="005365ED">
              <w:rPr>
                <w:rFonts w:ascii="Times New Roman" w:hAnsi="Times New Roman"/>
                <w:color w:val="000000"/>
                <w:sz w:val="22"/>
              </w:rPr>
              <w:t xml:space="preserve">Par starptautiska mēroga publicitātes pasākumiem konkursa ietvaros uzskatīs aktivitātes, </w:t>
            </w:r>
            <w:r w:rsidRPr="00C55BA8">
              <w:rPr>
                <w:rFonts w:ascii="Times New Roman" w:hAnsi="Times New Roman"/>
                <w:color w:val="000000"/>
                <w:sz w:val="22"/>
              </w:rPr>
              <w:t>ja</w:t>
            </w:r>
            <w:r w:rsidR="007D1FFA" w:rsidRPr="00C55BA8">
              <w:rPr>
                <w:rFonts w:ascii="Times New Roman" w:hAnsi="Times New Roman"/>
                <w:color w:val="000000"/>
                <w:sz w:val="22"/>
              </w:rPr>
              <w:t xml:space="preserve"> par tām</w:t>
            </w:r>
            <w:proofErr w:type="gramStart"/>
            <w:r w:rsidR="007D1FFA" w:rsidRPr="00C55BA8">
              <w:rPr>
                <w:rFonts w:ascii="Times New Roman" w:hAnsi="Times New Roman"/>
                <w:color w:val="000000"/>
                <w:sz w:val="22"/>
              </w:rPr>
              <w:t xml:space="preserve"> </w:t>
            </w:r>
            <w:r w:rsidRPr="00C55BA8">
              <w:rPr>
                <w:rFonts w:ascii="Times New Roman" w:hAnsi="Times New Roman"/>
                <w:color w:val="000000"/>
                <w:sz w:val="22"/>
              </w:rPr>
              <w:t xml:space="preserve"> </w:t>
            </w:r>
            <w:proofErr w:type="gramEnd"/>
            <w:r w:rsidR="00BA71A3">
              <w:rPr>
                <w:rFonts w:ascii="Times New Roman" w:hAnsi="Times New Roman"/>
                <w:color w:val="000000"/>
                <w:sz w:val="22"/>
              </w:rPr>
              <w:t xml:space="preserve">projekta iesniegumā </w:t>
            </w:r>
            <w:r w:rsidR="007563C9">
              <w:rPr>
                <w:rFonts w:ascii="Times New Roman" w:hAnsi="Times New Roman"/>
                <w:color w:val="000000"/>
                <w:sz w:val="22"/>
              </w:rPr>
              <w:t xml:space="preserve">būs </w:t>
            </w:r>
            <w:r w:rsidR="009B68EE" w:rsidRPr="00BA71A3">
              <w:rPr>
                <w:rFonts w:ascii="Times New Roman" w:hAnsi="Times New Roman"/>
                <w:color w:val="000000"/>
                <w:sz w:val="22"/>
              </w:rPr>
              <w:t>sniegta informācija</w:t>
            </w:r>
            <w:r w:rsidR="00BA71A3">
              <w:rPr>
                <w:rFonts w:ascii="Times New Roman" w:hAnsi="Times New Roman"/>
                <w:color w:val="000000"/>
                <w:sz w:val="22"/>
              </w:rPr>
              <w:t xml:space="preserve"> </w:t>
            </w:r>
            <w:r w:rsidR="007D1FFA">
              <w:rPr>
                <w:rFonts w:ascii="Times New Roman" w:hAnsi="Times New Roman"/>
                <w:color w:val="000000"/>
                <w:sz w:val="22"/>
              </w:rPr>
              <w:t xml:space="preserve">(piem., </w:t>
            </w:r>
            <w:r w:rsidR="00BA71A3">
              <w:rPr>
                <w:rFonts w:ascii="Times New Roman" w:hAnsi="Times New Roman"/>
                <w:color w:val="000000"/>
                <w:sz w:val="22"/>
              </w:rPr>
              <w:t>kur</w:t>
            </w:r>
            <w:r w:rsidR="000E10F7">
              <w:rPr>
                <w:rFonts w:ascii="Times New Roman" w:hAnsi="Times New Roman"/>
                <w:color w:val="000000"/>
                <w:sz w:val="22"/>
              </w:rPr>
              <w:t>, cik bieži,</w:t>
            </w:r>
            <w:r w:rsidR="00BA71A3">
              <w:rPr>
                <w:rFonts w:ascii="Times New Roman" w:hAnsi="Times New Roman"/>
                <w:color w:val="000000"/>
                <w:sz w:val="22"/>
              </w:rPr>
              <w:t xml:space="preserve"> kādā valodā</w:t>
            </w:r>
            <w:r w:rsidR="007D1FFA">
              <w:rPr>
                <w:rFonts w:ascii="Times New Roman" w:hAnsi="Times New Roman"/>
                <w:color w:val="000000"/>
                <w:sz w:val="22"/>
              </w:rPr>
              <w:t>,</w:t>
            </w:r>
            <w:r w:rsidR="000E10F7">
              <w:rPr>
                <w:rFonts w:ascii="Times New Roman" w:hAnsi="Times New Roman"/>
                <w:color w:val="000000"/>
                <w:sz w:val="22"/>
              </w:rPr>
              <w:t xml:space="preserve"> </w:t>
            </w:r>
            <w:r w:rsidR="007D1FFA">
              <w:rPr>
                <w:rFonts w:ascii="Times New Roman" w:hAnsi="Times New Roman"/>
                <w:color w:val="000000"/>
                <w:sz w:val="22"/>
              </w:rPr>
              <w:t>kādā apjomā un formātā</w:t>
            </w:r>
            <w:r w:rsidR="000E10F7">
              <w:rPr>
                <w:rFonts w:ascii="Times New Roman" w:hAnsi="Times New Roman"/>
                <w:color w:val="000000"/>
                <w:sz w:val="22"/>
              </w:rPr>
              <w:t xml:space="preserve"> </w:t>
            </w:r>
            <w:r w:rsidR="00BA71A3">
              <w:rPr>
                <w:rFonts w:ascii="Times New Roman" w:hAnsi="Times New Roman"/>
                <w:color w:val="000000"/>
                <w:sz w:val="22"/>
              </w:rPr>
              <w:t>tiks publicēta informācija</w:t>
            </w:r>
            <w:r w:rsidR="009B68EE" w:rsidRPr="00BA71A3">
              <w:rPr>
                <w:rFonts w:ascii="Times New Roman" w:hAnsi="Times New Roman"/>
                <w:color w:val="000000"/>
                <w:sz w:val="22"/>
              </w:rPr>
              <w:t xml:space="preserve"> </w:t>
            </w:r>
            <w:r w:rsidRPr="00BA71A3">
              <w:rPr>
                <w:rFonts w:ascii="Times New Roman" w:hAnsi="Times New Roman"/>
                <w:color w:val="000000"/>
                <w:sz w:val="22"/>
              </w:rPr>
              <w:t>par EKII</w:t>
            </w:r>
            <w:r w:rsidR="007D1FFA">
              <w:rPr>
                <w:rFonts w:ascii="Times New Roman" w:hAnsi="Times New Roman"/>
                <w:color w:val="000000"/>
                <w:sz w:val="22"/>
              </w:rPr>
              <w:t xml:space="preserve"> ietvaros</w:t>
            </w:r>
            <w:r w:rsidRPr="00BA71A3">
              <w:rPr>
                <w:rFonts w:ascii="Times New Roman" w:hAnsi="Times New Roman"/>
                <w:color w:val="000000"/>
                <w:sz w:val="22"/>
              </w:rPr>
              <w:t xml:space="preserve"> finansēto projektu</w:t>
            </w:r>
            <w:r w:rsidR="007D1FFA">
              <w:rPr>
                <w:rFonts w:ascii="Times New Roman" w:hAnsi="Times New Roman"/>
                <w:color w:val="000000"/>
                <w:sz w:val="22"/>
              </w:rPr>
              <w:t>)</w:t>
            </w:r>
            <w:r w:rsidR="005365ED" w:rsidRPr="00BA71A3">
              <w:rPr>
                <w:rFonts w:ascii="Times New Roman" w:hAnsi="Times New Roman"/>
                <w:color w:val="000000"/>
                <w:sz w:val="22"/>
              </w:rPr>
              <w:t xml:space="preserve"> un tā</w:t>
            </w:r>
            <w:r w:rsidR="007D1FFA">
              <w:rPr>
                <w:rFonts w:ascii="Times New Roman" w:hAnsi="Times New Roman"/>
                <w:color w:val="000000"/>
                <w:sz w:val="22"/>
              </w:rPr>
              <w:t>s</w:t>
            </w:r>
            <w:r w:rsidR="005365ED" w:rsidRPr="00BA71A3">
              <w:rPr>
                <w:rFonts w:ascii="Times New Roman" w:hAnsi="Times New Roman"/>
                <w:color w:val="000000"/>
                <w:sz w:val="22"/>
              </w:rPr>
              <w:t xml:space="preserve"> </w:t>
            </w:r>
            <w:r w:rsidR="007D1FFA">
              <w:rPr>
                <w:rFonts w:ascii="Times New Roman" w:hAnsi="Times New Roman"/>
                <w:color w:val="000000"/>
                <w:sz w:val="22"/>
              </w:rPr>
              <w:t>varēs</w:t>
            </w:r>
            <w:r w:rsidR="007D1FFA" w:rsidRPr="00BA71A3">
              <w:rPr>
                <w:rFonts w:ascii="Times New Roman" w:hAnsi="Times New Roman"/>
                <w:color w:val="000000"/>
                <w:sz w:val="22"/>
              </w:rPr>
              <w:t xml:space="preserve"> pārbaud</w:t>
            </w:r>
            <w:r w:rsidR="007D1FFA">
              <w:rPr>
                <w:rFonts w:ascii="Times New Roman" w:hAnsi="Times New Roman"/>
                <w:color w:val="000000"/>
                <w:sz w:val="22"/>
              </w:rPr>
              <w:t>īt</w:t>
            </w:r>
            <w:r w:rsidR="007D1FFA" w:rsidRPr="00BA71A3">
              <w:rPr>
                <w:rFonts w:ascii="Times New Roman" w:hAnsi="Times New Roman"/>
                <w:color w:val="000000"/>
                <w:sz w:val="22"/>
              </w:rPr>
              <w:t xml:space="preserve"> </w:t>
            </w:r>
            <w:r w:rsidR="005365ED" w:rsidRPr="00BA71A3">
              <w:rPr>
                <w:rFonts w:ascii="Times New Roman" w:hAnsi="Times New Roman"/>
                <w:color w:val="000000"/>
                <w:sz w:val="22"/>
              </w:rPr>
              <w:t xml:space="preserve">projekta </w:t>
            </w:r>
            <w:r w:rsidR="007D1FFA">
              <w:rPr>
                <w:rFonts w:ascii="Times New Roman" w:hAnsi="Times New Roman"/>
                <w:color w:val="000000"/>
                <w:sz w:val="22"/>
              </w:rPr>
              <w:t>īstenošanas</w:t>
            </w:r>
            <w:r w:rsidR="007D1FFA" w:rsidRPr="00BA71A3">
              <w:rPr>
                <w:rFonts w:ascii="Times New Roman" w:hAnsi="Times New Roman"/>
                <w:color w:val="000000"/>
                <w:sz w:val="22"/>
              </w:rPr>
              <w:t xml:space="preserve"> </w:t>
            </w:r>
            <w:r w:rsidR="005365ED" w:rsidRPr="00BA71A3">
              <w:rPr>
                <w:rFonts w:ascii="Times New Roman" w:hAnsi="Times New Roman"/>
                <w:color w:val="000000"/>
                <w:sz w:val="22"/>
              </w:rPr>
              <w:t>laikā</w:t>
            </w:r>
            <w:r w:rsidR="009B68EE" w:rsidRPr="00BA71A3">
              <w:rPr>
                <w:rFonts w:ascii="Times New Roman" w:hAnsi="Times New Roman"/>
                <w:color w:val="000000"/>
                <w:sz w:val="22"/>
              </w:rPr>
              <w:t xml:space="preserve"> (tīmekļvietne, buklet</w:t>
            </w:r>
            <w:r w:rsidR="00A34390">
              <w:rPr>
                <w:rFonts w:ascii="Times New Roman" w:hAnsi="Times New Roman"/>
                <w:color w:val="000000"/>
                <w:sz w:val="22"/>
              </w:rPr>
              <w:t>s</w:t>
            </w:r>
            <w:r w:rsidR="009B68EE" w:rsidRPr="00BA71A3">
              <w:rPr>
                <w:rFonts w:ascii="Times New Roman" w:hAnsi="Times New Roman"/>
                <w:color w:val="000000"/>
                <w:sz w:val="22"/>
              </w:rPr>
              <w:t>, video u.c.)</w:t>
            </w:r>
            <w:r w:rsidR="00BA71A3">
              <w:rPr>
                <w:rFonts w:ascii="Times New Roman" w:hAnsi="Times New Roman"/>
                <w:color w:val="000000"/>
                <w:sz w:val="22"/>
              </w:rPr>
              <w:t xml:space="preserve">. </w:t>
            </w:r>
          </w:p>
          <w:p w14:paraId="6F522296" w14:textId="72856F11" w:rsidR="005365ED" w:rsidRPr="00351010" w:rsidRDefault="005365ED" w:rsidP="00950B5C">
            <w:pPr>
              <w:jc w:val="both"/>
              <w:rPr>
                <w:color w:val="000000"/>
                <w:sz w:val="22"/>
              </w:rPr>
            </w:pPr>
          </w:p>
        </w:tc>
      </w:tr>
      <w:tr w:rsidR="001A3142" w:rsidRPr="001A3142" w14:paraId="144487F5" w14:textId="77777777" w:rsidTr="00F6138F">
        <w:trPr>
          <w:cantSplit/>
        </w:trPr>
        <w:tc>
          <w:tcPr>
            <w:tcW w:w="645" w:type="dxa"/>
          </w:tcPr>
          <w:p w14:paraId="7A7890F5" w14:textId="17A73830" w:rsidR="001A3142" w:rsidRPr="001A3142" w:rsidRDefault="001A3142" w:rsidP="00AB59BD">
            <w:pPr>
              <w:jc w:val="center"/>
              <w:rPr>
                <w:rFonts w:ascii="Times New Roman" w:hAnsi="Times New Roman"/>
                <w:sz w:val="22"/>
              </w:rPr>
            </w:pPr>
            <w:r w:rsidRPr="001A3142">
              <w:rPr>
                <w:rFonts w:ascii="Times New Roman" w:hAnsi="Times New Roman"/>
                <w:sz w:val="22"/>
              </w:rPr>
              <w:lastRenderedPageBreak/>
              <w:t>10.</w:t>
            </w:r>
          </w:p>
        </w:tc>
        <w:tc>
          <w:tcPr>
            <w:tcW w:w="6754" w:type="dxa"/>
          </w:tcPr>
          <w:p w14:paraId="6283FE5B" w14:textId="3E95DDAB"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EKII konkursa vadlīnijās (Vadlīnijas) projektu iesniedzējiem 4.1.nodaļā „Publicitātes pasākumu veidi” minēts, ka būvdarbu laikā jāizvieto paziņojums, ka projektu finansē no EKII līdzekļiem, pēc projekta – informatīvā plāksne pie ēkas.</w:t>
            </w:r>
          </w:p>
          <w:p w14:paraId="7CC1E357" w14:textId="77777777"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Lūdzam sniegt informāciju par minimālajām obligātajām publicitātes prasībām: Logo, informācijas izvietošana uz </w:t>
            </w:r>
            <w:proofErr w:type="spellStart"/>
            <w:r w:rsidRPr="001A3142">
              <w:rPr>
                <w:rFonts w:ascii="Times New Roman" w:hAnsi="Times New Roman"/>
                <w:color w:val="000000"/>
                <w:sz w:val="22"/>
              </w:rPr>
              <w:t>būvtāfeles</w:t>
            </w:r>
            <w:proofErr w:type="spellEnd"/>
            <w:r w:rsidRPr="001A3142">
              <w:rPr>
                <w:rFonts w:ascii="Times New Roman" w:hAnsi="Times New Roman"/>
                <w:color w:val="000000"/>
                <w:sz w:val="22"/>
              </w:rPr>
              <w:t xml:space="preserve">, krāsu toņi, izmēri u.tml. Vai ir pieejamas EKII publicitātes vadlīnijas? </w:t>
            </w:r>
          </w:p>
          <w:p w14:paraId="7E5DF2F9" w14:textId="353B6B3B"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Vienlaikus lūdzam skaidrot, </w:t>
            </w:r>
            <w:r w:rsidRPr="001A3142">
              <w:rPr>
                <w:rFonts w:ascii="Times New Roman" w:hAnsi="Times New Roman"/>
                <w:b/>
                <w:color w:val="000000"/>
                <w:sz w:val="22"/>
              </w:rPr>
              <w:t>kāds paziņojums un kādā formātā izvietojams būvdarbu laikā?</w:t>
            </w:r>
            <w:r w:rsidRPr="001A3142">
              <w:rPr>
                <w:rFonts w:ascii="Times New Roman" w:hAnsi="Times New Roman"/>
                <w:color w:val="000000"/>
                <w:sz w:val="22"/>
              </w:rPr>
              <w:t xml:space="preserve"> Informējam, ka atbilstoši Būvniecības likuma 14.panta 7.daļas prasībām, jau šobrīd pie plānotā būvlaukuma ir izvietota „</w:t>
            </w:r>
            <w:proofErr w:type="spellStart"/>
            <w:r w:rsidRPr="001A3142">
              <w:rPr>
                <w:rFonts w:ascii="Times New Roman" w:hAnsi="Times New Roman"/>
                <w:color w:val="000000"/>
                <w:sz w:val="22"/>
              </w:rPr>
              <w:t>būvtāfele</w:t>
            </w:r>
            <w:proofErr w:type="spellEnd"/>
            <w:r w:rsidRPr="001A3142">
              <w:rPr>
                <w:rFonts w:ascii="Times New Roman" w:hAnsi="Times New Roman"/>
                <w:color w:val="000000"/>
                <w:sz w:val="22"/>
              </w:rPr>
              <w:t xml:space="preserve">”. Vai iespējams risinājums, ka informācija par EKII projektu (nosaukums, logo) tiek izvietota uz jau esošās </w:t>
            </w:r>
            <w:proofErr w:type="spellStart"/>
            <w:r w:rsidRPr="001A3142">
              <w:rPr>
                <w:rFonts w:ascii="Times New Roman" w:hAnsi="Times New Roman"/>
                <w:color w:val="000000"/>
                <w:sz w:val="22"/>
              </w:rPr>
              <w:t>būvtāfeles</w:t>
            </w:r>
            <w:proofErr w:type="spellEnd"/>
            <w:r w:rsidRPr="001A3142">
              <w:rPr>
                <w:rFonts w:ascii="Times New Roman" w:hAnsi="Times New Roman"/>
                <w:color w:val="000000"/>
                <w:sz w:val="22"/>
              </w:rPr>
              <w:t>?</w:t>
            </w:r>
          </w:p>
        </w:tc>
        <w:tc>
          <w:tcPr>
            <w:tcW w:w="7227" w:type="dxa"/>
          </w:tcPr>
          <w:p w14:paraId="1660673E" w14:textId="272C0128" w:rsidR="001A3142" w:rsidRDefault="00775B7A" w:rsidP="00775B7A">
            <w:pPr>
              <w:jc w:val="both"/>
              <w:rPr>
                <w:rFonts w:ascii="Times New Roman" w:hAnsi="Times New Roman"/>
                <w:color w:val="000000"/>
                <w:sz w:val="22"/>
              </w:rPr>
            </w:pPr>
            <w:r>
              <w:rPr>
                <w:rFonts w:ascii="Times New Roman" w:hAnsi="Times New Roman"/>
                <w:color w:val="000000"/>
                <w:sz w:val="22"/>
              </w:rPr>
              <w:t>Š</w:t>
            </w:r>
            <w:r w:rsidR="00BA71A3">
              <w:rPr>
                <w:rFonts w:ascii="Times New Roman" w:hAnsi="Times New Roman"/>
                <w:color w:val="000000"/>
                <w:sz w:val="22"/>
              </w:rPr>
              <w:t>obrīd normatīvaj</w:t>
            </w:r>
            <w:r w:rsidR="00A34390">
              <w:rPr>
                <w:rFonts w:ascii="Times New Roman" w:hAnsi="Times New Roman"/>
                <w:color w:val="000000"/>
                <w:sz w:val="22"/>
              </w:rPr>
              <w:t>os</w:t>
            </w:r>
            <w:r w:rsidR="00BA71A3">
              <w:rPr>
                <w:rFonts w:ascii="Times New Roman" w:hAnsi="Times New Roman"/>
                <w:color w:val="000000"/>
                <w:sz w:val="22"/>
              </w:rPr>
              <w:t xml:space="preserve"> akt</w:t>
            </w:r>
            <w:r w:rsidR="00A34390">
              <w:rPr>
                <w:rFonts w:ascii="Times New Roman" w:hAnsi="Times New Roman"/>
                <w:color w:val="000000"/>
                <w:sz w:val="22"/>
              </w:rPr>
              <w:t>os</w:t>
            </w:r>
            <w:r w:rsidR="00BA71A3">
              <w:rPr>
                <w:rFonts w:ascii="Times New Roman" w:hAnsi="Times New Roman"/>
                <w:color w:val="000000"/>
                <w:sz w:val="22"/>
              </w:rPr>
              <w:t xml:space="preserve"> nav noteikts EKII logo, krāsu toņi</w:t>
            </w:r>
            <w:r w:rsidR="00A34390">
              <w:rPr>
                <w:rFonts w:ascii="Times New Roman" w:hAnsi="Times New Roman"/>
                <w:color w:val="000000"/>
                <w:sz w:val="22"/>
              </w:rPr>
              <w:t xml:space="preserve"> vai</w:t>
            </w:r>
            <w:r w:rsidR="00BA71A3">
              <w:rPr>
                <w:rFonts w:ascii="Times New Roman" w:hAnsi="Times New Roman"/>
                <w:color w:val="000000"/>
                <w:sz w:val="22"/>
              </w:rPr>
              <w:t xml:space="preserve"> izmēri. </w:t>
            </w:r>
            <w:r w:rsidR="00950B5C">
              <w:rPr>
                <w:rFonts w:ascii="Times New Roman" w:hAnsi="Times New Roman"/>
                <w:color w:val="000000"/>
                <w:sz w:val="22"/>
              </w:rPr>
              <w:t xml:space="preserve">Informāciju par EKII </w:t>
            </w:r>
            <w:r w:rsidR="00A34390">
              <w:rPr>
                <w:rFonts w:ascii="Times New Roman" w:hAnsi="Times New Roman"/>
                <w:color w:val="000000"/>
                <w:sz w:val="22"/>
              </w:rPr>
              <w:t xml:space="preserve">ietvaros īstenojamo </w:t>
            </w:r>
            <w:r w:rsidR="00950B5C">
              <w:rPr>
                <w:rFonts w:ascii="Times New Roman" w:hAnsi="Times New Roman"/>
                <w:color w:val="000000"/>
                <w:sz w:val="22"/>
              </w:rPr>
              <w:t>projektu</w:t>
            </w:r>
            <w:r w:rsidR="00BA71A3">
              <w:rPr>
                <w:rFonts w:ascii="Times New Roman" w:hAnsi="Times New Roman"/>
                <w:color w:val="000000"/>
                <w:sz w:val="22"/>
              </w:rPr>
              <w:t xml:space="preserve"> (nosaukumu, EKII līdzfinansējum</w:t>
            </w:r>
            <w:r w:rsidR="00A34390">
              <w:rPr>
                <w:rFonts w:ascii="Times New Roman" w:hAnsi="Times New Roman"/>
                <w:color w:val="000000"/>
                <w:sz w:val="22"/>
              </w:rPr>
              <w:t>a apjomu</w:t>
            </w:r>
            <w:r w:rsidR="00BA71A3">
              <w:rPr>
                <w:rFonts w:ascii="Times New Roman" w:hAnsi="Times New Roman"/>
                <w:color w:val="000000"/>
                <w:sz w:val="22"/>
              </w:rPr>
              <w:t>, ieviešanas termiņu)</w:t>
            </w:r>
            <w:r w:rsidR="00950B5C">
              <w:rPr>
                <w:rFonts w:ascii="Times New Roman" w:hAnsi="Times New Roman"/>
                <w:color w:val="000000"/>
                <w:sz w:val="22"/>
              </w:rPr>
              <w:t xml:space="preserve"> var izvietot </w:t>
            </w:r>
            <w:r w:rsidR="00BA71A3">
              <w:rPr>
                <w:rFonts w:ascii="Times New Roman" w:hAnsi="Times New Roman"/>
                <w:color w:val="000000"/>
                <w:sz w:val="22"/>
              </w:rPr>
              <w:t xml:space="preserve">brīvā formā </w:t>
            </w:r>
            <w:r w:rsidR="00950B5C">
              <w:rPr>
                <w:rFonts w:ascii="Times New Roman" w:hAnsi="Times New Roman"/>
                <w:color w:val="000000"/>
                <w:sz w:val="22"/>
              </w:rPr>
              <w:t xml:space="preserve">uz jau esošās </w:t>
            </w:r>
            <w:proofErr w:type="spellStart"/>
            <w:r w:rsidR="00950B5C">
              <w:rPr>
                <w:rFonts w:ascii="Times New Roman" w:hAnsi="Times New Roman"/>
                <w:color w:val="000000"/>
                <w:sz w:val="22"/>
              </w:rPr>
              <w:t>būvtāfeles</w:t>
            </w:r>
            <w:proofErr w:type="spellEnd"/>
            <w:r w:rsidR="007563C9">
              <w:rPr>
                <w:rFonts w:ascii="Times New Roman" w:hAnsi="Times New Roman"/>
                <w:color w:val="000000"/>
                <w:sz w:val="22"/>
              </w:rPr>
              <w:t xml:space="preserve">, bet atbilstoši MK noteikumu Nr.69 72.4.apakšpunktam plāksnei ar informāciju </w:t>
            </w:r>
            <w:r>
              <w:rPr>
                <w:rFonts w:ascii="Times New Roman" w:hAnsi="Times New Roman"/>
                <w:color w:val="000000"/>
                <w:sz w:val="22"/>
              </w:rPr>
              <w:t xml:space="preserve">(piem., </w:t>
            </w:r>
            <w:r w:rsidR="007563C9">
              <w:rPr>
                <w:rFonts w:ascii="Times New Roman" w:hAnsi="Times New Roman"/>
                <w:color w:val="000000"/>
                <w:sz w:val="22"/>
              </w:rPr>
              <w:t>par projekta rezultātiem, līdzfinansējum</w:t>
            </w:r>
            <w:r>
              <w:rPr>
                <w:rFonts w:ascii="Times New Roman" w:hAnsi="Times New Roman"/>
                <w:color w:val="000000"/>
                <w:sz w:val="22"/>
              </w:rPr>
              <w:t>a apjomu</w:t>
            </w:r>
            <w:r w:rsidR="007563C9">
              <w:rPr>
                <w:rFonts w:ascii="Times New Roman" w:hAnsi="Times New Roman"/>
                <w:color w:val="000000"/>
                <w:sz w:val="22"/>
              </w:rPr>
              <w:t xml:space="preserve"> un citiem projekta rādītājiem</w:t>
            </w:r>
            <w:r>
              <w:rPr>
                <w:rFonts w:ascii="Times New Roman" w:hAnsi="Times New Roman"/>
                <w:color w:val="000000"/>
                <w:sz w:val="22"/>
              </w:rPr>
              <w:t>)</w:t>
            </w:r>
            <w:r w:rsidR="007563C9">
              <w:rPr>
                <w:rFonts w:ascii="Times New Roman" w:hAnsi="Times New Roman"/>
                <w:color w:val="000000"/>
                <w:sz w:val="22"/>
              </w:rPr>
              <w:t xml:space="preserve"> jābūt izvietotai arī pēc projekta būvdarbu pabeigšanas.</w:t>
            </w:r>
          </w:p>
          <w:p w14:paraId="753F30EA" w14:textId="6CEC5731" w:rsidR="00775B7A" w:rsidRPr="001A3142" w:rsidRDefault="00775B7A" w:rsidP="00775B7A">
            <w:pPr>
              <w:jc w:val="both"/>
              <w:rPr>
                <w:rFonts w:ascii="Times New Roman" w:hAnsi="Times New Roman"/>
                <w:color w:val="000000"/>
                <w:sz w:val="22"/>
              </w:rPr>
            </w:pPr>
            <w:r>
              <w:rPr>
                <w:rFonts w:ascii="Times New Roman" w:hAnsi="Times New Roman"/>
                <w:color w:val="000000"/>
                <w:sz w:val="22"/>
              </w:rPr>
              <w:t>Lai nodrošinātu vienādus EKII logo izmantošanas nosacījumus visos īstenojamajos projektos, VARAM ir uzsākusi attiecīgu vadlīniju sagatavošanu, kas projektu iesniedzējiem vist</w:t>
            </w:r>
            <w:r w:rsidRPr="00775B7A">
              <w:rPr>
                <w:rFonts w:ascii="Times New Roman" w:hAnsi="Times New Roman"/>
                <w:color w:val="000000"/>
                <w:sz w:val="22"/>
              </w:rPr>
              <w:t xml:space="preserve">icamāk būs pieejamas uz </w:t>
            </w:r>
            <w:r w:rsidRPr="00C55BA8">
              <w:rPr>
                <w:rFonts w:ascii="Times New Roman" w:hAnsi="Times New Roman"/>
                <w:color w:val="000000"/>
                <w:sz w:val="22"/>
              </w:rPr>
              <w:t xml:space="preserve">līguma </w:t>
            </w:r>
            <w:r w:rsidRPr="00775B7A">
              <w:rPr>
                <w:rFonts w:ascii="Times New Roman" w:hAnsi="Times New Roman"/>
                <w:color w:val="000000"/>
                <w:sz w:val="22"/>
              </w:rPr>
              <w:t xml:space="preserve">par projekta </w:t>
            </w:r>
            <w:r>
              <w:rPr>
                <w:rFonts w:ascii="Times New Roman" w:hAnsi="Times New Roman"/>
                <w:color w:val="000000"/>
                <w:sz w:val="22"/>
              </w:rPr>
              <w:t>īs</w:t>
            </w:r>
            <w:r w:rsidRPr="00775B7A">
              <w:rPr>
                <w:rFonts w:ascii="Times New Roman" w:hAnsi="Times New Roman"/>
                <w:color w:val="000000"/>
                <w:sz w:val="22"/>
              </w:rPr>
              <w:t>teno</w:t>
            </w:r>
            <w:r>
              <w:rPr>
                <w:rFonts w:ascii="Times New Roman" w:hAnsi="Times New Roman"/>
                <w:color w:val="000000"/>
                <w:sz w:val="22"/>
              </w:rPr>
              <w:t>ša</w:t>
            </w:r>
            <w:r w:rsidRPr="00C55BA8">
              <w:rPr>
                <w:rFonts w:ascii="Times New Roman" w:hAnsi="Times New Roman"/>
                <w:color w:val="000000"/>
                <w:sz w:val="22"/>
              </w:rPr>
              <w:t>nu noslēgšanas brīdi</w:t>
            </w:r>
            <w:r w:rsidRPr="00775B7A">
              <w:rPr>
                <w:rFonts w:ascii="Times New Roman" w:hAnsi="Times New Roman"/>
                <w:color w:val="000000"/>
                <w:sz w:val="22"/>
              </w:rPr>
              <w:t>.</w:t>
            </w:r>
          </w:p>
        </w:tc>
      </w:tr>
      <w:tr w:rsidR="001A3142" w:rsidRPr="001A3142" w14:paraId="65D68D32" w14:textId="77777777" w:rsidTr="00F6138F">
        <w:trPr>
          <w:cantSplit/>
        </w:trPr>
        <w:tc>
          <w:tcPr>
            <w:tcW w:w="645" w:type="dxa"/>
          </w:tcPr>
          <w:p w14:paraId="24207ABA" w14:textId="74D67A21" w:rsidR="001A3142" w:rsidRPr="001A3142" w:rsidRDefault="001A3142" w:rsidP="00AB59BD">
            <w:pPr>
              <w:jc w:val="center"/>
              <w:rPr>
                <w:rFonts w:ascii="Times New Roman" w:hAnsi="Times New Roman"/>
                <w:sz w:val="22"/>
              </w:rPr>
            </w:pPr>
            <w:r w:rsidRPr="001A3142">
              <w:rPr>
                <w:rFonts w:ascii="Times New Roman" w:hAnsi="Times New Roman"/>
                <w:sz w:val="22"/>
              </w:rPr>
              <w:t>11.</w:t>
            </w:r>
          </w:p>
        </w:tc>
        <w:tc>
          <w:tcPr>
            <w:tcW w:w="6754" w:type="dxa"/>
          </w:tcPr>
          <w:p w14:paraId="7EAB4B57" w14:textId="60284ECC"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Vadlīnijās projektu iesniedzējiem 5.1.nodaļā „Projekta finansēšanas plāns” projekta iesniedzējam norādīts, ka „ja finanšu instrumenta finansējums pārsniedz 1 000 000 euro ir jāveic attiecināmo izmaksu aprēķins atbilstoši Komisijas 2014. gada 17. jūnija Regulas (ES) Nr. 651/2014, ar ko noteiktas atbalsta kategorijas atzīst par saderīgām ar iekšējo tirgu, piemērojot Līguma 107. Un 108. pantu, 53. pantam. Attiecināmās izmaksas nepārsniedz starpību starp MK noteikumu Nr.69 33. punktā minētajām attiecināmajām izmaksām un pamatdarbības peļņu no ieguldījuma. Pamatdarbības peļņu atskaita no attiecināmajām izmaksām iepriekš saskaņā ar pamatotām prognozēm par amortizācijas gadu periodu pēc projekta realizācijas”.</w:t>
            </w:r>
          </w:p>
          <w:p w14:paraId="0D10F84E" w14:textId="0C765699"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Lūdzam skaidrot, kas vadlīnijās tiek saprasts ar terminu „Projekta realizācija”?</w:t>
            </w:r>
          </w:p>
        </w:tc>
        <w:tc>
          <w:tcPr>
            <w:tcW w:w="7227" w:type="dxa"/>
          </w:tcPr>
          <w:p w14:paraId="4281E9A8" w14:textId="6213FA3A" w:rsidR="001A3142" w:rsidRDefault="00950B5C" w:rsidP="00FB2654">
            <w:pPr>
              <w:jc w:val="both"/>
              <w:rPr>
                <w:rFonts w:ascii="Times New Roman" w:hAnsi="Times New Roman"/>
                <w:color w:val="000000"/>
                <w:sz w:val="22"/>
              </w:rPr>
            </w:pPr>
            <w:r>
              <w:rPr>
                <w:rFonts w:ascii="Times New Roman" w:hAnsi="Times New Roman"/>
                <w:color w:val="000000"/>
                <w:sz w:val="22"/>
              </w:rPr>
              <w:t xml:space="preserve">Ar terminu “Projekta realizācija” saprot </w:t>
            </w:r>
            <w:r w:rsidR="00FB2654">
              <w:rPr>
                <w:rFonts w:ascii="Times New Roman" w:hAnsi="Times New Roman"/>
                <w:color w:val="000000"/>
                <w:sz w:val="22"/>
              </w:rPr>
              <w:t xml:space="preserve">projekta īstenošanas periodu jeb laiku, atbilstoši </w:t>
            </w:r>
            <w:r w:rsidRPr="001A3142">
              <w:rPr>
                <w:rFonts w:ascii="Times New Roman" w:hAnsi="Times New Roman"/>
                <w:color w:val="000000"/>
                <w:sz w:val="22"/>
              </w:rPr>
              <w:t>MK noteikumu Nr.69</w:t>
            </w:r>
            <w:r w:rsidR="00FB2654">
              <w:rPr>
                <w:rFonts w:ascii="Times New Roman" w:hAnsi="Times New Roman"/>
                <w:color w:val="000000"/>
                <w:sz w:val="22"/>
              </w:rPr>
              <w:t xml:space="preserve"> 8.punktā un</w:t>
            </w:r>
            <w:r>
              <w:rPr>
                <w:rFonts w:ascii="Times New Roman" w:hAnsi="Times New Roman"/>
                <w:color w:val="000000"/>
                <w:sz w:val="22"/>
              </w:rPr>
              <w:t xml:space="preserve"> 4. pielikuma </w:t>
            </w:r>
            <w:r w:rsidR="00BA71A3" w:rsidRPr="00950B5C">
              <w:rPr>
                <w:rFonts w:ascii="Times New Roman" w:hAnsi="Times New Roman"/>
                <w:color w:val="000000"/>
                <w:sz w:val="22"/>
              </w:rPr>
              <w:t>2.8.</w:t>
            </w:r>
            <w:r>
              <w:rPr>
                <w:rFonts w:ascii="Times New Roman" w:hAnsi="Times New Roman"/>
                <w:color w:val="000000"/>
                <w:sz w:val="22"/>
              </w:rPr>
              <w:t>sadaļā</w:t>
            </w:r>
            <w:r w:rsidR="00FB2654">
              <w:rPr>
                <w:rFonts w:ascii="Times New Roman" w:hAnsi="Times New Roman"/>
                <w:color w:val="000000"/>
                <w:sz w:val="22"/>
              </w:rPr>
              <w:t xml:space="preserve"> norādītajam</w:t>
            </w:r>
            <w:r w:rsidR="00B47ADE">
              <w:rPr>
                <w:rFonts w:ascii="Times New Roman" w:hAnsi="Times New Roman"/>
                <w:color w:val="000000"/>
                <w:sz w:val="22"/>
              </w:rPr>
              <w:t xml:space="preserve">. </w:t>
            </w:r>
            <w:r w:rsidR="00FB2654">
              <w:rPr>
                <w:rFonts w:ascii="Times New Roman" w:hAnsi="Times New Roman"/>
                <w:color w:val="000000"/>
                <w:sz w:val="22"/>
              </w:rPr>
              <w:t xml:space="preserve"> </w:t>
            </w:r>
          </w:p>
          <w:p w14:paraId="5F128DCB" w14:textId="15EEA5EC" w:rsidR="00FB2654" w:rsidRPr="001A3142" w:rsidRDefault="00FB2654" w:rsidP="00FB2654">
            <w:pPr>
              <w:jc w:val="both"/>
              <w:rPr>
                <w:rFonts w:ascii="Times New Roman" w:hAnsi="Times New Roman"/>
                <w:color w:val="000000"/>
                <w:sz w:val="22"/>
              </w:rPr>
            </w:pPr>
          </w:p>
        </w:tc>
      </w:tr>
      <w:tr w:rsidR="001A3142" w:rsidRPr="001A3142" w14:paraId="638991B7" w14:textId="77777777" w:rsidTr="00F6138F">
        <w:trPr>
          <w:cantSplit/>
        </w:trPr>
        <w:tc>
          <w:tcPr>
            <w:tcW w:w="645" w:type="dxa"/>
          </w:tcPr>
          <w:p w14:paraId="4BA40E1D" w14:textId="63184278" w:rsidR="001A3142" w:rsidRPr="001A3142" w:rsidRDefault="001A3142" w:rsidP="00AB59BD">
            <w:pPr>
              <w:jc w:val="center"/>
              <w:rPr>
                <w:rFonts w:ascii="Times New Roman" w:hAnsi="Times New Roman"/>
                <w:sz w:val="22"/>
              </w:rPr>
            </w:pPr>
            <w:r w:rsidRPr="001A3142">
              <w:rPr>
                <w:rFonts w:ascii="Times New Roman" w:hAnsi="Times New Roman"/>
                <w:sz w:val="22"/>
              </w:rPr>
              <w:lastRenderedPageBreak/>
              <w:t>12.</w:t>
            </w:r>
          </w:p>
        </w:tc>
        <w:tc>
          <w:tcPr>
            <w:tcW w:w="6754" w:type="dxa"/>
          </w:tcPr>
          <w:p w14:paraId="6FBE44A0" w14:textId="1665B88C"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Vadlīniju 5.2.sadaļas “Projekta aktivitāšu izmaksu kopsavilkums”</w:t>
            </w:r>
            <w:proofErr w:type="gramStart"/>
            <w:r w:rsidRPr="001A3142">
              <w:rPr>
                <w:rFonts w:ascii="Times New Roman" w:hAnsi="Times New Roman"/>
                <w:color w:val="000000"/>
                <w:sz w:val="22"/>
              </w:rPr>
              <w:t xml:space="preserve">  </w:t>
            </w:r>
            <w:proofErr w:type="gramEnd"/>
            <w:r w:rsidRPr="001A3142">
              <w:rPr>
                <w:rFonts w:ascii="Times New Roman" w:hAnsi="Times New Roman"/>
                <w:color w:val="000000"/>
                <w:sz w:val="22"/>
              </w:rPr>
              <w:t>piemērā izmaksu “lielajām” kategorijām (Nr. 1.-9.)  norādītas arī apakšpozīcijas un to izmaksas. Uz projekta iesnieguma iesniegšanas brīdi ir jābūt izsludinātam iepirkumam, bet ne pieņemtam lēmumam par uzvarētāja noteikšanu, respektīvi, precīzas būvdarbu izmaksas uz projekta iesnieguma iesniegšanas brīdi nebūs zināmas. Un var rasties situācija, ka projekta atbalsta gadījumā, noslēdzot līgumu, būs nepieciešams veikt grozījumus izmaksu kopsavilkumā. Projekta iesniegumam tiek pievienots akceptēts būvprojekts, t.sk. ekonomiskā daļa ar plānotajām izmaksām. Cik detalizēti projekta iesnieguma 5.2.sadaļā ir jānorāda apakšpozīciju izmaksas un vai ir iespējams iesniegumā norādīt tikai „lielo” kategoriju izmaksas un Projekta iesniegumam pievienot akceptētu būvprojektu, t.sk. ekonomisko daļu ar plānotajām izmaksām (būvdarbu tāmi)?</w:t>
            </w:r>
          </w:p>
        </w:tc>
        <w:tc>
          <w:tcPr>
            <w:tcW w:w="7227" w:type="dxa"/>
          </w:tcPr>
          <w:p w14:paraId="715BA303" w14:textId="13081DF7" w:rsidR="001A3142" w:rsidRPr="001A3142" w:rsidRDefault="009B68EE" w:rsidP="00C96432">
            <w:pPr>
              <w:jc w:val="both"/>
              <w:rPr>
                <w:rFonts w:ascii="Times New Roman" w:hAnsi="Times New Roman"/>
                <w:color w:val="000000"/>
                <w:sz w:val="22"/>
              </w:rPr>
            </w:pPr>
            <w:r w:rsidRPr="009B68EE">
              <w:rPr>
                <w:rFonts w:ascii="Times New Roman" w:hAnsi="Times New Roman"/>
                <w:color w:val="000000"/>
                <w:sz w:val="22"/>
              </w:rPr>
              <w:t>MK noteikumu Nr.69 4. pielikuma 5.</w:t>
            </w:r>
            <w:r>
              <w:rPr>
                <w:rFonts w:ascii="Times New Roman" w:hAnsi="Times New Roman"/>
                <w:color w:val="000000"/>
                <w:sz w:val="22"/>
              </w:rPr>
              <w:t>2</w:t>
            </w:r>
            <w:r w:rsidRPr="009B68EE">
              <w:rPr>
                <w:rFonts w:ascii="Times New Roman" w:hAnsi="Times New Roman"/>
                <w:color w:val="000000"/>
                <w:sz w:val="22"/>
              </w:rPr>
              <w:t xml:space="preserve">. </w:t>
            </w:r>
            <w:r w:rsidR="00E61AF3" w:rsidRPr="009B68EE">
              <w:rPr>
                <w:rFonts w:ascii="Times New Roman" w:hAnsi="Times New Roman"/>
                <w:color w:val="000000"/>
                <w:sz w:val="22"/>
              </w:rPr>
              <w:t xml:space="preserve">sadaļā </w:t>
            </w:r>
            <w:r w:rsidR="00E61AF3">
              <w:rPr>
                <w:rFonts w:ascii="Times New Roman" w:hAnsi="Times New Roman"/>
                <w:color w:val="000000"/>
                <w:sz w:val="22"/>
              </w:rPr>
              <w:t>“</w:t>
            </w:r>
            <w:r w:rsidRPr="009B68EE">
              <w:rPr>
                <w:rFonts w:ascii="Times New Roman" w:hAnsi="Times New Roman"/>
                <w:color w:val="000000"/>
                <w:sz w:val="22"/>
              </w:rPr>
              <w:t xml:space="preserve">Projekta aktivitāšu izmaksu </w:t>
            </w:r>
            <w:r w:rsidRPr="007563C9">
              <w:rPr>
                <w:rFonts w:ascii="Times New Roman" w:hAnsi="Times New Roman"/>
                <w:color w:val="000000"/>
                <w:sz w:val="22"/>
              </w:rPr>
              <w:t>kopsavilkums</w:t>
            </w:r>
            <w:r w:rsidR="00E61AF3" w:rsidRPr="007563C9">
              <w:rPr>
                <w:rFonts w:ascii="Times New Roman" w:hAnsi="Times New Roman"/>
                <w:color w:val="000000"/>
                <w:sz w:val="22"/>
              </w:rPr>
              <w:t>”</w:t>
            </w:r>
            <w:r w:rsidRPr="007563C9">
              <w:rPr>
                <w:rFonts w:ascii="Times New Roman" w:hAnsi="Times New Roman"/>
                <w:color w:val="000000"/>
                <w:sz w:val="22"/>
              </w:rPr>
              <w:t xml:space="preserve"> var norādīt tikai izmaksu kategorijas</w:t>
            </w:r>
            <w:r w:rsidR="00E61AF3" w:rsidRPr="007563C9">
              <w:rPr>
                <w:rFonts w:ascii="Times New Roman" w:hAnsi="Times New Roman"/>
                <w:color w:val="000000"/>
                <w:sz w:val="22"/>
              </w:rPr>
              <w:t>, saskaņā ar MK noteikumu Nr.69 noteiktajiem attiecināmo izmaksu veidiem.</w:t>
            </w:r>
            <w:r w:rsidRPr="007563C9">
              <w:rPr>
                <w:rFonts w:ascii="Times New Roman" w:hAnsi="Times New Roman"/>
                <w:color w:val="000000"/>
                <w:sz w:val="22"/>
              </w:rPr>
              <w:t xml:space="preserve"> </w:t>
            </w:r>
            <w:r w:rsidR="00E61AF3" w:rsidRPr="007563C9">
              <w:rPr>
                <w:rFonts w:ascii="Times New Roman" w:hAnsi="Times New Roman"/>
                <w:color w:val="000000"/>
                <w:sz w:val="22"/>
              </w:rPr>
              <w:t>Veicot projektu iesniegumu vērtēšanu</w:t>
            </w:r>
            <w:r w:rsidR="007563C9">
              <w:rPr>
                <w:rFonts w:ascii="Times New Roman" w:hAnsi="Times New Roman"/>
                <w:color w:val="000000"/>
                <w:sz w:val="22"/>
              </w:rPr>
              <w:t>,</w:t>
            </w:r>
            <w:r w:rsidR="00E61AF3" w:rsidRPr="007563C9">
              <w:rPr>
                <w:rFonts w:ascii="Times New Roman" w:hAnsi="Times New Roman"/>
                <w:color w:val="000000"/>
                <w:sz w:val="22"/>
              </w:rPr>
              <w:t xml:space="preserve"> vērtēšanas komisija var </w:t>
            </w:r>
            <w:r w:rsidR="00A84BA5" w:rsidRPr="00C55BA8">
              <w:rPr>
                <w:rFonts w:ascii="Times New Roman" w:hAnsi="Times New Roman"/>
                <w:color w:val="000000"/>
                <w:sz w:val="22"/>
              </w:rPr>
              <w:t xml:space="preserve">vērtēšanas laikā </w:t>
            </w:r>
            <w:r w:rsidRPr="00C55BA8">
              <w:rPr>
                <w:rFonts w:ascii="Times New Roman" w:hAnsi="Times New Roman"/>
                <w:color w:val="000000"/>
                <w:sz w:val="22"/>
              </w:rPr>
              <w:t>pieprasīt paskaidrot vai precizēt</w:t>
            </w:r>
            <w:r w:rsidR="005E336F" w:rsidRPr="00C55BA8">
              <w:rPr>
                <w:rFonts w:ascii="Times New Roman" w:hAnsi="Times New Roman"/>
                <w:color w:val="000000"/>
                <w:sz w:val="22"/>
              </w:rPr>
              <w:t xml:space="preserve"> norādīto informāciju</w:t>
            </w:r>
            <w:r w:rsidRPr="007563C9">
              <w:rPr>
                <w:rFonts w:ascii="Times New Roman" w:hAnsi="Times New Roman"/>
                <w:color w:val="000000"/>
                <w:sz w:val="22"/>
              </w:rPr>
              <w:t xml:space="preserve">, </w:t>
            </w:r>
            <w:r w:rsidR="005E336F" w:rsidRPr="007563C9">
              <w:rPr>
                <w:rFonts w:ascii="Times New Roman" w:hAnsi="Times New Roman"/>
                <w:color w:val="000000"/>
                <w:sz w:val="22"/>
              </w:rPr>
              <w:t>kas veido</w:t>
            </w:r>
            <w:r w:rsidRPr="007563C9">
              <w:rPr>
                <w:rFonts w:ascii="Times New Roman" w:hAnsi="Times New Roman"/>
                <w:color w:val="000000"/>
                <w:sz w:val="22"/>
              </w:rPr>
              <w:t xml:space="preserve"> </w:t>
            </w:r>
            <w:r w:rsidR="00E61AF3" w:rsidRPr="007563C9">
              <w:rPr>
                <w:rFonts w:ascii="Times New Roman" w:hAnsi="Times New Roman"/>
                <w:color w:val="000000"/>
                <w:sz w:val="22"/>
              </w:rPr>
              <w:t>5.2. sadaļā “Projekta aktivitāšu izmaksu kopsavilkums”</w:t>
            </w:r>
            <w:r w:rsidR="00A84BA5" w:rsidRPr="007563C9">
              <w:rPr>
                <w:rFonts w:ascii="Times New Roman" w:hAnsi="Times New Roman"/>
                <w:color w:val="000000"/>
                <w:sz w:val="22"/>
              </w:rPr>
              <w:t xml:space="preserve"> </w:t>
            </w:r>
            <w:r w:rsidR="00E61AF3" w:rsidRPr="007563C9">
              <w:rPr>
                <w:rFonts w:ascii="Times New Roman" w:hAnsi="Times New Roman"/>
                <w:color w:val="000000"/>
                <w:sz w:val="22"/>
              </w:rPr>
              <w:t>norādītās izmaksas,</w:t>
            </w:r>
            <w:r w:rsidR="00E61AF3" w:rsidRPr="00C55BA8">
              <w:rPr>
                <w:rFonts w:ascii="Times New Roman" w:hAnsi="Times New Roman"/>
                <w:color w:val="000000"/>
                <w:sz w:val="22"/>
              </w:rPr>
              <w:t xml:space="preserve"> </w:t>
            </w:r>
            <w:r w:rsidR="00A84BA5" w:rsidRPr="007563C9">
              <w:rPr>
                <w:rFonts w:ascii="Times New Roman" w:hAnsi="Times New Roman"/>
                <w:color w:val="000000"/>
                <w:sz w:val="22"/>
              </w:rPr>
              <w:t>ja tas nebūs viennozīmīgi saprotams</w:t>
            </w:r>
            <w:r w:rsidRPr="007563C9">
              <w:rPr>
                <w:rFonts w:ascii="Times New Roman" w:hAnsi="Times New Roman"/>
                <w:color w:val="000000"/>
                <w:sz w:val="22"/>
              </w:rPr>
              <w:t>.</w:t>
            </w:r>
            <w:r w:rsidR="00E61AF3" w:rsidRPr="007563C9">
              <w:rPr>
                <w:rFonts w:ascii="Times New Roman" w:hAnsi="Times New Roman"/>
                <w:color w:val="000000"/>
                <w:sz w:val="22"/>
              </w:rPr>
              <w:t xml:space="preserve"> Vēršam uzmanību, ka līgumā par projekta īstenošanu tiks norādītas tikai </w:t>
            </w:r>
            <w:r w:rsidR="00172029" w:rsidRPr="007563C9">
              <w:rPr>
                <w:rFonts w:ascii="Times New Roman" w:hAnsi="Times New Roman"/>
                <w:color w:val="000000"/>
                <w:sz w:val="22"/>
              </w:rPr>
              <w:t xml:space="preserve">lēmumā par </w:t>
            </w:r>
            <w:r w:rsidR="00E61AF3" w:rsidRPr="007563C9">
              <w:rPr>
                <w:rFonts w:ascii="Times New Roman" w:hAnsi="Times New Roman"/>
                <w:color w:val="000000"/>
                <w:sz w:val="22"/>
              </w:rPr>
              <w:t>projekta iesniegum</w:t>
            </w:r>
            <w:r w:rsidR="00172029" w:rsidRPr="007563C9">
              <w:rPr>
                <w:rFonts w:ascii="Times New Roman" w:hAnsi="Times New Roman"/>
                <w:color w:val="000000"/>
                <w:sz w:val="22"/>
              </w:rPr>
              <w:t>a</w:t>
            </w:r>
            <w:r w:rsidR="00E61AF3" w:rsidRPr="0083486A">
              <w:rPr>
                <w:rFonts w:ascii="Times New Roman" w:hAnsi="Times New Roman"/>
                <w:color w:val="000000"/>
                <w:sz w:val="22"/>
              </w:rPr>
              <w:t xml:space="preserve"> </w:t>
            </w:r>
            <w:r w:rsidR="00172029" w:rsidRPr="0083486A">
              <w:rPr>
                <w:rFonts w:ascii="Times New Roman" w:hAnsi="Times New Roman"/>
                <w:color w:val="000000"/>
                <w:sz w:val="22"/>
              </w:rPr>
              <w:t>apstiprināšanu</w:t>
            </w:r>
            <w:r w:rsidR="00E61AF3" w:rsidRPr="0083486A">
              <w:rPr>
                <w:rFonts w:ascii="Times New Roman" w:hAnsi="Times New Roman"/>
                <w:color w:val="000000"/>
                <w:sz w:val="22"/>
              </w:rPr>
              <w:t xml:space="preserve"> </w:t>
            </w:r>
            <w:r w:rsidR="00172029" w:rsidRPr="0083486A">
              <w:rPr>
                <w:rFonts w:ascii="Times New Roman" w:hAnsi="Times New Roman"/>
                <w:color w:val="000000"/>
                <w:sz w:val="22"/>
              </w:rPr>
              <w:t xml:space="preserve">norādītās </w:t>
            </w:r>
            <w:r w:rsidR="00E61AF3" w:rsidRPr="0083486A">
              <w:rPr>
                <w:rFonts w:ascii="Times New Roman" w:hAnsi="Times New Roman"/>
                <w:color w:val="000000"/>
                <w:sz w:val="22"/>
              </w:rPr>
              <w:t>aktivitāšu kopējās izmaksas, neattiecināmās izmaksas un attiecināmās izmaksas</w:t>
            </w:r>
            <w:r w:rsidR="00172029" w:rsidRPr="0083486A">
              <w:rPr>
                <w:rFonts w:ascii="Times New Roman" w:hAnsi="Times New Roman"/>
                <w:color w:val="000000"/>
                <w:sz w:val="22"/>
              </w:rPr>
              <w:t>.</w:t>
            </w:r>
            <w:r w:rsidR="00E61AF3" w:rsidRPr="0083486A">
              <w:rPr>
                <w:rFonts w:ascii="Times New Roman" w:hAnsi="Times New Roman"/>
                <w:color w:val="000000"/>
                <w:sz w:val="22"/>
              </w:rPr>
              <w:t xml:space="preserve"> </w:t>
            </w:r>
            <w:r w:rsidR="00172029" w:rsidRPr="0083486A">
              <w:rPr>
                <w:rFonts w:ascii="Times New Roman" w:hAnsi="Times New Roman"/>
                <w:color w:val="000000"/>
                <w:sz w:val="22"/>
              </w:rPr>
              <w:t>Projekta</w:t>
            </w:r>
            <w:r w:rsidR="00C96432">
              <w:rPr>
                <w:rFonts w:ascii="Times New Roman" w:hAnsi="Times New Roman"/>
                <w:color w:val="000000"/>
                <w:sz w:val="22"/>
              </w:rPr>
              <w:t xml:space="preserve"> iesnieguma</w:t>
            </w:r>
            <w:r w:rsidR="00E61AF3" w:rsidRPr="0083486A">
              <w:rPr>
                <w:rFonts w:ascii="Times New Roman" w:hAnsi="Times New Roman"/>
                <w:color w:val="000000"/>
                <w:sz w:val="22"/>
              </w:rPr>
              <w:t xml:space="preserve"> groz</w:t>
            </w:r>
            <w:r w:rsidR="007563C9">
              <w:rPr>
                <w:rFonts w:ascii="Times New Roman" w:hAnsi="Times New Roman"/>
                <w:color w:val="000000"/>
                <w:sz w:val="22"/>
              </w:rPr>
              <w:t>ī</w:t>
            </w:r>
            <w:r w:rsidR="00E61AF3" w:rsidRPr="007563C9">
              <w:rPr>
                <w:rFonts w:ascii="Times New Roman" w:hAnsi="Times New Roman"/>
                <w:color w:val="000000"/>
                <w:sz w:val="22"/>
              </w:rPr>
              <w:t xml:space="preserve">jumus varēs veikt tikai pēc līguma par projekta </w:t>
            </w:r>
            <w:r w:rsidR="00172029" w:rsidRPr="007563C9">
              <w:rPr>
                <w:rFonts w:ascii="Times New Roman" w:hAnsi="Times New Roman"/>
                <w:color w:val="000000"/>
                <w:sz w:val="22"/>
              </w:rPr>
              <w:t>īstenošanu spēkā stāšanās un nepieciešamo izmaiņu pamatošanas.</w:t>
            </w:r>
            <w:r w:rsidR="00E61AF3" w:rsidRPr="007563C9">
              <w:rPr>
                <w:rFonts w:ascii="Times New Roman" w:hAnsi="Times New Roman"/>
                <w:color w:val="000000"/>
                <w:sz w:val="22"/>
              </w:rPr>
              <w:t xml:space="preserve"> </w:t>
            </w:r>
            <w:r w:rsidR="00172029" w:rsidRPr="007563C9">
              <w:rPr>
                <w:rFonts w:ascii="Times New Roman" w:hAnsi="Times New Roman"/>
                <w:color w:val="000000"/>
                <w:sz w:val="22"/>
              </w:rPr>
              <w:t>EKII piešķirtais finansējums projekta</w:t>
            </w:r>
            <w:r w:rsidR="00C96432">
              <w:rPr>
                <w:rFonts w:ascii="Times New Roman" w:hAnsi="Times New Roman"/>
                <w:color w:val="000000"/>
                <w:sz w:val="22"/>
              </w:rPr>
              <w:t xml:space="preserve"> iesnieguma</w:t>
            </w:r>
            <w:r w:rsidR="00172029" w:rsidRPr="007563C9">
              <w:rPr>
                <w:rFonts w:ascii="Times New Roman" w:hAnsi="Times New Roman"/>
                <w:color w:val="000000"/>
                <w:sz w:val="22"/>
              </w:rPr>
              <w:t xml:space="preserve"> grozījumu rezultātā nevar tikt palielināts.</w:t>
            </w:r>
            <w:r w:rsidR="007563C9">
              <w:rPr>
                <w:rFonts w:ascii="Times New Roman" w:hAnsi="Times New Roman"/>
                <w:color w:val="000000"/>
                <w:sz w:val="22"/>
              </w:rPr>
              <w:t xml:space="preserve"> Ja uz projekta iesnieguma iesniegšanas brīdi nav zināmi iepirkumu rezultāti, tad minētā projekta iesnieguma veidlapas sadaļa jāaizpilda ņemot vērā būvprojekta ekonomiskajā daļā plānotās izmaksas, taču jāņem vērā, ka pēc projekta iesnieguma precizējumu saņemšanas izmaiņas atbalsta apjomā </w:t>
            </w:r>
            <w:r w:rsidR="00C96432">
              <w:rPr>
                <w:rFonts w:ascii="Times New Roman" w:hAnsi="Times New Roman"/>
                <w:color w:val="000000"/>
                <w:sz w:val="22"/>
              </w:rPr>
              <w:t xml:space="preserve">(palielinot EKII līdzfinansējumu) </w:t>
            </w:r>
            <w:r w:rsidR="007563C9">
              <w:rPr>
                <w:rFonts w:ascii="Times New Roman" w:hAnsi="Times New Roman"/>
                <w:color w:val="000000"/>
                <w:sz w:val="22"/>
              </w:rPr>
              <w:t>nav iespējams veikt.</w:t>
            </w:r>
          </w:p>
        </w:tc>
      </w:tr>
      <w:tr w:rsidR="001A3142" w:rsidRPr="001A3142" w14:paraId="4354E21A" w14:textId="77777777" w:rsidTr="00F6138F">
        <w:trPr>
          <w:cantSplit/>
        </w:trPr>
        <w:tc>
          <w:tcPr>
            <w:tcW w:w="645" w:type="dxa"/>
          </w:tcPr>
          <w:p w14:paraId="2FA7FB6A" w14:textId="34BACED6" w:rsidR="001A3142" w:rsidRPr="001A3142" w:rsidRDefault="001A3142" w:rsidP="00AB59BD">
            <w:pPr>
              <w:jc w:val="center"/>
              <w:rPr>
                <w:rFonts w:ascii="Times New Roman" w:hAnsi="Times New Roman"/>
                <w:sz w:val="22"/>
              </w:rPr>
            </w:pPr>
            <w:r w:rsidRPr="001A3142">
              <w:rPr>
                <w:rFonts w:ascii="Times New Roman" w:hAnsi="Times New Roman"/>
                <w:sz w:val="22"/>
              </w:rPr>
              <w:t>13.</w:t>
            </w:r>
          </w:p>
        </w:tc>
        <w:tc>
          <w:tcPr>
            <w:tcW w:w="6754" w:type="dxa"/>
          </w:tcPr>
          <w:p w14:paraId="5A64D47E" w14:textId="79013781" w:rsidR="001A3142" w:rsidRPr="001A3142" w:rsidRDefault="001A3142" w:rsidP="00721B5A">
            <w:pPr>
              <w:autoSpaceDE w:val="0"/>
              <w:autoSpaceDN w:val="0"/>
              <w:jc w:val="both"/>
              <w:rPr>
                <w:rFonts w:ascii="Times New Roman" w:hAnsi="Times New Roman"/>
                <w:color w:val="000000"/>
                <w:sz w:val="22"/>
              </w:rPr>
            </w:pPr>
            <w:r w:rsidRPr="001A3142">
              <w:rPr>
                <w:rFonts w:ascii="Times New Roman" w:hAnsi="Times New Roman"/>
                <w:color w:val="000000"/>
                <w:sz w:val="22"/>
              </w:rPr>
              <w:t>Vadlīnijās 5.3.sadaļā ”Finanšu plūsmas grafiks” nav norādīta veidnes aizpildīšanas metodika - projekta iesniedzējam veidnē plānotais finanšu plūsmas grafiks jānorāda euro, vai laika nogrieznī, atzīmējot plānoto maksājumu pieprasījumu iesniegšanas biežumu “X”.</w:t>
            </w:r>
          </w:p>
        </w:tc>
        <w:tc>
          <w:tcPr>
            <w:tcW w:w="7227" w:type="dxa"/>
          </w:tcPr>
          <w:p w14:paraId="6938CE72" w14:textId="3972392A" w:rsidR="001A3142" w:rsidRPr="00950B5C" w:rsidRDefault="001A3142" w:rsidP="00172029">
            <w:pPr>
              <w:jc w:val="both"/>
              <w:rPr>
                <w:rFonts w:ascii="Times New Roman" w:hAnsi="Times New Roman"/>
                <w:color w:val="000000"/>
                <w:sz w:val="22"/>
              </w:rPr>
            </w:pPr>
            <w:r w:rsidRPr="001A3142">
              <w:rPr>
                <w:rFonts w:ascii="Times New Roman" w:hAnsi="Times New Roman"/>
                <w:color w:val="000000"/>
                <w:sz w:val="22"/>
              </w:rPr>
              <w:t>MK noteikumu Nr.69</w:t>
            </w:r>
            <w:r w:rsidR="00950B5C">
              <w:rPr>
                <w:rFonts w:ascii="Times New Roman" w:hAnsi="Times New Roman"/>
                <w:color w:val="000000"/>
                <w:sz w:val="22"/>
              </w:rPr>
              <w:t xml:space="preserve"> 4. pielikuma </w:t>
            </w:r>
            <w:r w:rsidR="00950B5C" w:rsidRPr="00950B5C">
              <w:rPr>
                <w:rFonts w:ascii="Times New Roman" w:hAnsi="Times New Roman"/>
                <w:color w:val="000000"/>
                <w:sz w:val="22"/>
              </w:rPr>
              <w:t xml:space="preserve">5.3. </w:t>
            </w:r>
            <w:r w:rsidR="00172029">
              <w:rPr>
                <w:rFonts w:ascii="Times New Roman" w:hAnsi="Times New Roman"/>
                <w:color w:val="000000"/>
                <w:sz w:val="22"/>
              </w:rPr>
              <w:t>sadaļā</w:t>
            </w:r>
            <w:r w:rsidR="00172029" w:rsidRPr="00950B5C">
              <w:rPr>
                <w:rFonts w:ascii="Times New Roman" w:hAnsi="Times New Roman"/>
                <w:color w:val="000000"/>
                <w:sz w:val="22"/>
              </w:rPr>
              <w:t xml:space="preserve"> </w:t>
            </w:r>
            <w:r w:rsidR="00172029">
              <w:rPr>
                <w:rFonts w:ascii="Times New Roman" w:hAnsi="Times New Roman"/>
                <w:color w:val="000000"/>
                <w:sz w:val="22"/>
              </w:rPr>
              <w:t>“</w:t>
            </w:r>
            <w:r w:rsidR="00950B5C" w:rsidRPr="00950B5C">
              <w:rPr>
                <w:rFonts w:ascii="Times New Roman" w:hAnsi="Times New Roman"/>
                <w:color w:val="000000"/>
                <w:sz w:val="22"/>
              </w:rPr>
              <w:t>Finanšu plūsmas grafiks</w:t>
            </w:r>
            <w:r w:rsidR="00172029">
              <w:rPr>
                <w:rFonts w:ascii="Times New Roman" w:hAnsi="Times New Roman"/>
                <w:color w:val="000000"/>
                <w:sz w:val="22"/>
              </w:rPr>
              <w:t>”</w:t>
            </w:r>
            <w:r w:rsidR="00950B5C">
              <w:rPr>
                <w:rFonts w:ascii="Times New Roman" w:hAnsi="Times New Roman"/>
                <w:color w:val="000000"/>
                <w:sz w:val="22"/>
              </w:rPr>
              <w:t xml:space="preserve"> </w:t>
            </w:r>
            <w:r w:rsidR="00950B5C" w:rsidRPr="00A84BA5">
              <w:rPr>
                <w:rFonts w:ascii="Times New Roman" w:hAnsi="Times New Roman"/>
                <w:b/>
                <w:color w:val="000000"/>
                <w:sz w:val="22"/>
              </w:rPr>
              <w:t xml:space="preserve">jānorāda </w:t>
            </w:r>
            <w:r w:rsidR="00172029">
              <w:rPr>
                <w:rFonts w:ascii="Times New Roman" w:hAnsi="Times New Roman"/>
                <w:b/>
                <w:color w:val="000000"/>
                <w:sz w:val="22"/>
              </w:rPr>
              <w:t xml:space="preserve">konkrēta </w:t>
            </w:r>
            <w:r w:rsidR="00950B5C" w:rsidRPr="00A84BA5">
              <w:rPr>
                <w:rFonts w:ascii="Times New Roman" w:hAnsi="Times New Roman"/>
                <w:b/>
                <w:color w:val="000000"/>
                <w:sz w:val="22"/>
              </w:rPr>
              <w:t>plānotā finanšu plūsma</w:t>
            </w:r>
            <w:r w:rsidR="00172029">
              <w:rPr>
                <w:rFonts w:ascii="Times New Roman" w:hAnsi="Times New Roman"/>
                <w:b/>
                <w:color w:val="000000"/>
                <w:sz w:val="22"/>
              </w:rPr>
              <w:t xml:space="preserve"> (summa)</w:t>
            </w:r>
            <w:r w:rsidR="00950B5C" w:rsidRPr="00A84BA5">
              <w:rPr>
                <w:rFonts w:ascii="Times New Roman" w:hAnsi="Times New Roman"/>
                <w:b/>
                <w:color w:val="000000"/>
                <w:sz w:val="22"/>
              </w:rPr>
              <w:t xml:space="preserve"> </w:t>
            </w:r>
            <w:r w:rsidR="00950B5C" w:rsidRPr="00A84BA5">
              <w:rPr>
                <w:rFonts w:ascii="Times New Roman" w:hAnsi="Times New Roman"/>
                <w:b/>
                <w:i/>
                <w:color w:val="000000"/>
                <w:sz w:val="22"/>
              </w:rPr>
              <w:t>euro</w:t>
            </w:r>
            <w:r w:rsidR="00950B5C">
              <w:rPr>
                <w:rFonts w:ascii="Times New Roman" w:hAnsi="Times New Roman"/>
                <w:color w:val="000000"/>
                <w:sz w:val="22"/>
              </w:rPr>
              <w:t>.</w:t>
            </w:r>
          </w:p>
        </w:tc>
      </w:tr>
      <w:tr w:rsidR="001A3142" w:rsidRPr="001A3142" w14:paraId="0C6A64D5" w14:textId="77777777" w:rsidTr="00F6138F">
        <w:trPr>
          <w:cantSplit/>
        </w:trPr>
        <w:tc>
          <w:tcPr>
            <w:tcW w:w="645" w:type="dxa"/>
          </w:tcPr>
          <w:p w14:paraId="2A72CE7F" w14:textId="7D9DA807" w:rsidR="001A3142" w:rsidRPr="001A3142" w:rsidRDefault="001A3142" w:rsidP="00AB59BD">
            <w:pPr>
              <w:jc w:val="center"/>
              <w:rPr>
                <w:rFonts w:ascii="Times New Roman" w:hAnsi="Times New Roman"/>
                <w:sz w:val="22"/>
              </w:rPr>
            </w:pPr>
            <w:r w:rsidRPr="001A3142">
              <w:rPr>
                <w:rFonts w:ascii="Times New Roman" w:hAnsi="Times New Roman"/>
                <w:sz w:val="22"/>
              </w:rPr>
              <w:lastRenderedPageBreak/>
              <w:t>14.</w:t>
            </w:r>
          </w:p>
        </w:tc>
        <w:tc>
          <w:tcPr>
            <w:tcW w:w="6754" w:type="dxa"/>
          </w:tcPr>
          <w:p w14:paraId="7EAADFC9" w14:textId="2A2C379F"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Vadlīniju 7.pielikumā norādīts, ka “Ja projektā plānota jaunbūve, lēmumā jānorāda par </w:t>
            </w:r>
            <w:r w:rsidRPr="001A3142">
              <w:rPr>
                <w:rFonts w:ascii="Times New Roman" w:hAnsi="Times New Roman"/>
                <w:b/>
                <w:color w:val="000000"/>
                <w:sz w:val="22"/>
              </w:rPr>
              <w:t>visa projekta realizāciju</w:t>
            </w:r>
            <w:r w:rsidRPr="001A3142">
              <w:rPr>
                <w:rFonts w:ascii="Times New Roman" w:hAnsi="Times New Roman"/>
                <w:color w:val="000000"/>
                <w:sz w:val="22"/>
              </w:rPr>
              <w:t xml:space="preserve"> un finansējuma avotiem”. </w:t>
            </w:r>
          </w:p>
          <w:p w14:paraId="7C58249E" w14:textId="77777777"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Kas jāsaprot ar </w:t>
            </w:r>
            <w:r w:rsidRPr="001A3142">
              <w:rPr>
                <w:rFonts w:ascii="Times New Roman" w:hAnsi="Times New Roman"/>
                <w:b/>
                <w:color w:val="000000"/>
                <w:sz w:val="22"/>
              </w:rPr>
              <w:t>visa projekta realizāciju</w:t>
            </w:r>
            <w:r w:rsidRPr="001A3142">
              <w:rPr>
                <w:rFonts w:ascii="Times New Roman" w:hAnsi="Times New Roman"/>
                <w:color w:val="000000"/>
                <w:sz w:val="22"/>
              </w:rPr>
              <w:t>? Kādas izmaksas un par kādu apjomu ir jānorāda projekta iesniedzēja lēmumā?</w:t>
            </w:r>
          </w:p>
          <w:p w14:paraId="5C81B250" w14:textId="77777777"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Skaidrojam, ka:</w:t>
            </w:r>
          </w:p>
          <w:p w14:paraId="76A29D12" w14:textId="7D5E8A40"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 xml:space="preserve">6.1. projekta iesniedzējs plāno pretendēt uz maksimāli iespējamo EKII finansējumu, projekta iesniegums konkursā tiks iesniegts par kopējo summu, ko veido EKII finansējums un projekta iesniedzēja līdzfinansējums. Vienlaikus atbilstoši izstrādātajai būvdarbu tehniskajai dokumentācijai – tehniski ekonomiskajai daļai, kopējās plānotās būvprojekta realizācijas ir lielākas. Papildu vēl nepieciešama būvuzraudzība un autoruzraudzība, kas nav attiecināmās izmaksas EKII konkursa ietvaros. </w:t>
            </w:r>
          </w:p>
          <w:p w14:paraId="1168A9D1" w14:textId="57659B04" w:rsidR="001A3142" w:rsidRPr="001A3142" w:rsidRDefault="001A3142" w:rsidP="001A3142">
            <w:pPr>
              <w:autoSpaceDE w:val="0"/>
              <w:autoSpaceDN w:val="0"/>
              <w:jc w:val="both"/>
              <w:rPr>
                <w:rFonts w:ascii="Times New Roman" w:hAnsi="Times New Roman"/>
                <w:color w:val="000000"/>
                <w:sz w:val="22"/>
              </w:rPr>
            </w:pPr>
            <w:r w:rsidRPr="001A3142">
              <w:rPr>
                <w:rFonts w:ascii="Times New Roman" w:hAnsi="Times New Roman"/>
                <w:color w:val="000000"/>
                <w:sz w:val="22"/>
              </w:rPr>
              <w:t>6.2. Iepriekš minētās plānotās izmaksas, kās pārsniedz EKII pieejamo finansējumu, plānots finansēt cita finanšu instrumenta ietvaros,</w:t>
            </w:r>
            <w:proofErr w:type="gramStart"/>
            <w:r w:rsidRPr="001A3142">
              <w:rPr>
                <w:rFonts w:ascii="Times New Roman" w:hAnsi="Times New Roman"/>
                <w:color w:val="000000"/>
                <w:sz w:val="22"/>
              </w:rPr>
              <w:t xml:space="preserve">  </w:t>
            </w:r>
            <w:proofErr w:type="gramEnd"/>
            <w:r w:rsidRPr="001A3142">
              <w:rPr>
                <w:rFonts w:ascii="Times New Roman" w:hAnsi="Times New Roman"/>
                <w:color w:val="000000"/>
                <w:sz w:val="22"/>
              </w:rPr>
              <w:t>īstenojot atsevišķu  projektu sadarbībā ar sadarbības partneri.</w:t>
            </w:r>
          </w:p>
        </w:tc>
        <w:tc>
          <w:tcPr>
            <w:tcW w:w="7227" w:type="dxa"/>
          </w:tcPr>
          <w:p w14:paraId="77477BEF" w14:textId="65082AC1" w:rsidR="001A3142" w:rsidRPr="001A3142" w:rsidRDefault="00A84BA5" w:rsidP="008A0DAD">
            <w:pPr>
              <w:jc w:val="both"/>
              <w:rPr>
                <w:rFonts w:ascii="Times New Roman" w:hAnsi="Times New Roman"/>
                <w:color w:val="000000"/>
                <w:sz w:val="22"/>
              </w:rPr>
            </w:pPr>
            <w:r>
              <w:rPr>
                <w:rFonts w:ascii="Times New Roman" w:hAnsi="Times New Roman"/>
                <w:color w:val="000000"/>
                <w:sz w:val="22"/>
              </w:rPr>
              <w:t xml:space="preserve">Vadlīnijās minētajā sadaļā ar </w:t>
            </w:r>
            <w:r w:rsidRPr="00A84BA5">
              <w:rPr>
                <w:rFonts w:ascii="Times New Roman" w:hAnsi="Times New Roman"/>
                <w:b/>
                <w:color w:val="000000"/>
                <w:sz w:val="22"/>
              </w:rPr>
              <w:t>visa projekta realizāciju</w:t>
            </w:r>
            <w:r>
              <w:rPr>
                <w:rFonts w:ascii="Times New Roman" w:hAnsi="Times New Roman"/>
                <w:color w:val="000000"/>
                <w:sz w:val="22"/>
              </w:rPr>
              <w:t xml:space="preserve"> saprot visas izmaksas un aktivitātes, kas nepieciešamas, lai sekmīgi uz</w:t>
            </w:r>
            <w:r w:rsidR="008A0DAD">
              <w:rPr>
                <w:rFonts w:ascii="Times New Roman" w:hAnsi="Times New Roman"/>
                <w:color w:val="000000"/>
                <w:sz w:val="22"/>
              </w:rPr>
              <w:t>būvētu</w:t>
            </w:r>
            <w:r>
              <w:rPr>
                <w:rFonts w:ascii="Times New Roman" w:hAnsi="Times New Roman"/>
                <w:color w:val="000000"/>
                <w:sz w:val="22"/>
              </w:rPr>
              <w:t xml:space="preserve"> </w:t>
            </w:r>
            <w:r w:rsidR="008A0DAD">
              <w:rPr>
                <w:rFonts w:ascii="Times New Roman" w:hAnsi="Times New Roman"/>
                <w:color w:val="000000"/>
                <w:sz w:val="22"/>
              </w:rPr>
              <w:t>ēku (jaunbūvi)</w:t>
            </w:r>
            <w:r>
              <w:rPr>
                <w:rFonts w:ascii="Times New Roman" w:hAnsi="Times New Roman"/>
                <w:color w:val="000000"/>
                <w:sz w:val="22"/>
              </w:rPr>
              <w:t>, nodot</w:t>
            </w:r>
            <w:r w:rsidR="008A0DAD">
              <w:rPr>
                <w:rFonts w:ascii="Times New Roman" w:hAnsi="Times New Roman"/>
                <w:color w:val="000000"/>
                <w:sz w:val="22"/>
              </w:rPr>
              <w:t>u to</w:t>
            </w:r>
            <w:r>
              <w:rPr>
                <w:rFonts w:ascii="Times New Roman" w:hAnsi="Times New Roman"/>
                <w:color w:val="000000"/>
                <w:sz w:val="22"/>
              </w:rPr>
              <w:t xml:space="preserve"> ekspluatācijā un uzsākt</w:t>
            </w:r>
            <w:r w:rsidR="008A0DAD">
              <w:rPr>
                <w:rFonts w:ascii="Times New Roman" w:hAnsi="Times New Roman"/>
                <w:color w:val="000000"/>
                <w:sz w:val="22"/>
              </w:rPr>
              <w:t>u</w:t>
            </w:r>
            <w:r>
              <w:rPr>
                <w:rFonts w:ascii="Times New Roman" w:hAnsi="Times New Roman"/>
                <w:color w:val="000000"/>
                <w:sz w:val="22"/>
              </w:rPr>
              <w:t xml:space="preserve"> </w:t>
            </w:r>
            <w:r w:rsidR="000E10F7">
              <w:rPr>
                <w:rFonts w:ascii="Times New Roman" w:hAnsi="Times New Roman"/>
                <w:color w:val="000000"/>
                <w:sz w:val="22"/>
              </w:rPr>
              <w:t xml:space="preserve">jaunbūvē </w:t>
            </w:r>
            <w:r>
              <w:rPr>
                <w:rFonts w:ascii="Times New Roman" w:hAnsi="Times New Roman"/>
                <w:color w:val="000000"/>
                <w:sz w:val="22"/>
              </w:rPr>
              <w:t xml:space="preserve">sniegt </w:t>
            </w:r>
            <w:r w:rsidRPr="00351010">
              <w:rPr>
                <w:rFonts w:ascii="Times New Roman" w:hAnsi="Times New Roman"/>
                <w:color w:val="000000"/>
                <w:sz w:val="22"/>
              </w:rPr>
              <w:t>MK noteikumu Nr.69 17.1. punkt</w:t>
            </w:r>
            <w:r w:rsidR="000E10F7">
              <w:rPr>
                <w:rFonts w:ascii="Times New Roman" w:hAnsi="Times New Roman"/>
                <w:color w:val="000000"/>
                <w:sz w:val="22"/>
              </w:rPr>
              <w:t>ā</w:t>
            </w:r>
            <w:r>
              <w:rPr>
                <w:rFonts w:ascii="Times New Roman" w:hAnsi="Times New Roman"/>
                <w:color w:val="000000"/>
                <w:sz w:val="22"/>
              </w:rPr>
              <w:t xml:space="preserve"> minētās funkcijas.</w:t>
            </w:r>
            <w:r w:rsidR="0083486A">
              <w:rPr>
                <w:rFonts w:ascii="Times New Roman" w:hAnsi="Times New Roman"/>
                <w:color w:val="000000"/>
                <w:sz w:val="22"/>
              </w:rPr>
              <w:t xml:space="preserve"> Ja daļu izmaksu (autoruzraudzība, būvuzraudzība u.c.) pozīciju ir plānots segt no citiem finanšu avotiem</w:t>
            </w:r>
            <w:proofErr w:type="gramStart"/>
            <w:r w:rsidR="0083486A">
              <w:rPr>
                <w:rFonts w:ascii="Times New Roman" w:hAnsi="Times New Roman"/>
                <w:color w:val="000000"/>
                <w:sz w:val="22"/>
              </w:rPr>
              <w:t xml:space="preserve"> un</w:t>
            </w:r>
            <w:proofErr w:type="gramEnd"/>
            <w:r w:rsidR="0083486A">
              <w:rPr>
                <w:rFonts w:ascii="Times New Roman" w:hAnsi="Times New Roman"/>
                <w:color w:val="000000"/>
                <w:sz w:val="22"/>
              </w:rPr>
              <w:t xml:space="preserve"> tās netiek plānotas kā projekta neattiecināmās izmaksas, lēmumā jānorāda minētās izmaksu pozīcijas un informācija, ka tās tiks segtas, piemēram, no projekta iesniedzēja līdzekļiem vai citiem finanšu </w:t>
            </w:r>
            <w:r w:rsidR="008A0DAD">
              <w:rPr>
                <w:rFonts w:ascii="Times New Roman" w:hAnsi="Times New Roman"/>
                <w:color w:val="000000"/>
                <w:sz w:val="22"/>
              </w:rPr>
              <w:t>avotiem</w:t>
            </w:r>
            <w:r w:rsidR="0083486A">
              <w:rPr>
                <w:rFonts w:ascii="Times New Roman" w:hAnsi="Times New Roman"/>
                <w:color w:val="000000"/>
                <w:sz w:val="22"/>
              </w:rPr>
              <w:t>.</w:t>
            </w:r>
          </w:p>
        </w:tc>
      </w:tr>
      <w:tr w:rsidR="00950B5C" w:rsidRPr="005E336F" w14:paraId="63C36104" w14:textId="77777777" w:rsidTr="00F6138F">
        <w:trPr>
          <w:cantSplit/>
        </w:trPr>
        <w:tc>
          <w:tcPr>
            <w:tcW w:w="645" w:type="dxa"/>
          </w:tcPr>
          <w:p w14:paraId="2C6A9CBA" w14:textId="5B847CCA" w:rsidR="00950B5C" w:rsidRPr="005E336F" w:rsidRDefault="005E336F" w:rsidP="00AB59BD">
            <w:pPr>
              <w:jc w:val="center"/>
              <w:rPr>
                <w:rFonts w:ascii="Times New Roman" w:hAnsi="Times New Roman"/>
                <w:sz w:val="22"/>
              </w:rPr>
            </w:pPr>
            <w:r>
              <w:rPr>
                <w:rFonts w:ascii="Times New Roman" w:hAnsi="Times New Roman"/>
                <w:sz w:val="22"/>
              </w:rPr>
              <w:t>1</w:t>
            </w:r>
            <w:r w:rsidR="00C55BA8">
              <w:rPr>
                <w:rFonts w:ascii="Times New Roman" w:hAnsi="Times New Roman"/>
                <w:sz w:val="22"/>
              </w:rPr>
              <w:t>5</w:t>
            </w:r>
            <w:r>
              <w:rPr>
                <w:rFonts w:ascii="Times New Roman" w:hAnsi="Times New Roman"/>
                <w:sz w:val="22"/>
              </w:rPr>
              <w:t>.</w:t>
            </w:r>
          </w:p>
        </w:tc>
        <w:tc>
          <w:tcPr>
            <w:tcW w:w="6754" w:type="dxa"/>
          </w:tcPr>
          <w:p w14:paraId="1A1713A7" w14:textId="60E26308" w:rsidR="00950B5C" w:rsidRDefault="00A84BA5" w:rsidP="005E336F">
            <w:pPr>
              <w:autoSpaceDE w:val="0"/>
              <w:autoSpaceDN w:val="0"/>
              <w:jc w:val="both"/>
              <w:rPr>
                <w:rFonts w:ascii="Times New Roman" w:hAnsi="Times New Roman"/>
                <w:b/>
                <w:color w:val="000000"/>
                <w:sz w:val="22"/>
              </w:rPr>
            </w:pPr>
            <w:r w:rsidRPr="005E336F">
              <w:rPr>
                <w:rFonts w:ascii="Times New Roman" w:hAnsi="Times New Roman"/>
                <w:color w:val="000000"/>
                <w:sz w:val="22"/>
              </w:rPr>
              <w:t>Vadlīniju 7.pielikuma „Projekta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 skaidrojumā projektu iesniedzējiem norādīts, ka:</w:t>
            </w:r>
            <w:r w:rsidR="005E336F" w:rsidRPr="005E336F">
              <w:rPr>
                <w:rFonts w:ascii="Times New Roman" w:hAnsi="Times New Roman"/>
                <w:color w:val="000000"/>
                <w:sz w:val="22"/>
              </w:rPr>
              <w:t xml:space="preserve"> </w:t>
            </w:r>
            <w:r w:rsidRPr="005E336F">
              <w:rPr>
                <w:rFonts w:ascii="Times New Roman" w:hAnsi="Times New Roman"/>
                <w:color w:val="000000"/>
                <w:sz w:val="22"/>
              </w:rPr>
              <w:t>„Iesniedz obligāti visi projektu iesniedzēji</w:t>
            </w:r>
            <w:r w:rsidR="005E336F">
              <w:rPr>
                <w:rFonts w:ascii="Times New Roman" w:hAnsi="Times New Roman"/>
                <w:color w:val="000000"/>
                <w:sz w:val="22"/>
              </w:rPr>
              <w:t>”</w:t>
            </w:r>
          </w:p>
          <w:p w14:paraId="115F67EB" w14:textId="77777777" w:rsidR="005E336F" w:rsidRPr="005E336F" w:rsidRDefault="005E336F" w:rsidP="005E336F">
            <w:pPr>
              <w:autoSpaceDE w:val="0"/>
              <w:autoSpaceDN w:val="0"/>
              <w:jc w:val="both"/>
              <w:rPr>
                <w:rFonts w:ascii="Times New Roman" w:hAnsi="Times New Roman"/>
                <w:color w:val="000000"/>
                <w:sz w:val="22"/>
              </w:rPr>
            </w:pPr>
            <w:r w:rsidRPr="005E336F">
              <w:rPr>
                <w:rFonts w:ascii="Times New Roman" w:hAnsi="Times New Roman"/>
                <w:color w:val="000000"/>
                <w:sz w:val="22"/>
              </w:rPr>
              <w:t>Aizņēmums projekta īstenošanai netiek ņemts kredītiestādē, bet gan aizņēmumu izsniedz Valsts kase, kas savukārt Vadlīnijās minēto informāciju pirms projekta apstiprināšanas neapliecina un izziņas neizsniedz.</w:t>
            </w:r>
          </w:p>
          <w:p w14:paraId="110B66FC" w14:textId="7320F00B" w:rsidR="005E336F" w:rsidRPr="005E336F" w:rsidRDefault="005E336F" w:rsidP="005E336F">
            <w:pPr>
              <w:autoSpaceDE w:val="0"/>
              <w:autoSpaceDN w:val="0"/>
              <w:jc w:val="both"/>
              <w:rPr>
                <w:rFonts w:ascii="Times New Roman" w:hAnsi="Times New Roman"/>
                <w:b/>
                <w:color w:val="000000"/>
                <w:sz w:val="22"/>
              </w:rPr>
            </w:pPr>
            <w:r w:rsidRPr="005E336F">
              <w:rPr>
                <w:rFonts w:ascii="Times New Roman" w:hAnsi="Times New Roman"/>
                <w:color w:val="000000"/>
                <w:sz w:val="22"/>
              </w:rPr>
              <w:t>Lūdzu sniegt info</w:t>
            </w:r>
            <w:r>
              <w:rPr>
                <w:rFonts w:ascii="Times New Roman" w:hAnsi="Times New Roman"/>
                <w:color w:val="000000"/>
                <w:sz w:val="22"/>
              </w:rPr>
              <w:t xml:space="preserve">rmāciju par to, kādi dokumenti </w:t>
            </w:r>
            <w:r w:rsidRPr="005E336F">
              <w:rPr>
                <w:rFonts w:ascii="Times New Roman" w:hAnsi="Times New Roman"/>
                <w:color w:val="000000"/>
                <w:sz w:val="22"/>
              </w:rPr>
              <w:t>iepriekš minētā gadījumā iesniedzami un pievienojami projekta iesniegumam</w:t>
            </w:r>
          </w:p>
        </w:tc>
        <w:tc>
          <w:tcPr>
            <w:tcW w:w="7227" w:type="dxa"/>
          </w:tcPr>
          <w:p w14:paraId="7D7A9C19" w14:textId="6F251BD1" w:rsidR="00950B5C" w:rsidRPr="008E0C26" w:rsidRDefault="005E336F" w:rsidP="0083486A">
            <w:pPr>
              <w:jc w:val="both"/>
              <w:rPr>
                <w:rFonts w:ascii="Times New Roman" w:hAnsi="Times New Roman"/>
                <w:color w:val="000000"/>
                <w:sz w:val="22"/>
              </w:rPr>
            </w:pPr>
            <w:r w:rsidRPr="008E0C26">
              <w:rPr>
                <w:rFonts w:ascii="Times New Roman" w:hAnsi="Times New Roman"/>
                <w:color w:val="000000"/>
                <w:sz w:val="22"/>
              </w:rPr>
              <w:t xml:space="preserve">Ja projektā plānots, ka aizņēmumu izsniegs Valsts kase, tad </w:t>
            </w:r>
            <w:r w:rsidR="008E0C26">
              <w:rPr>
                <w:rFonts w:ascii="Times New Roman" w:hAnsi="Times New Roman"/>
                <w:color w:val="000000"/>
                <w:sz w:val="22"/>
              </w:rPr>
              <w:t>p</w:t>
            </w:r>
            <w:r w:rsidRPr="008E0C26">
              <w:rPr>
                <w:rFonts w:ascii="Times New Roman" w:hAnsi="Times New Roman"/>
                <w:color w:val="000000"/>
                <w:sz w:val="22"/>
              </w:rPr>
              <w:t xml:space="preserve">rojekta iesniedzēja lēmumā par projekta īstenošanu ir jānorāda, ka aizņēmums tiks ņemts no Valsts kases un </w:t>
            </w:r>
            <w:r w:rsidRPr="008E0C26">
              <w:rPr>
                <w:rFonts w:ascii="Times New Roman" w:hAnsi="Times New Roman"/>
                <w:b/>
                <w:color w:val="000000"/>
                <w:sz w:val="22"/>
              </w:rPr>
              <w:t>papildus izziņa vai lēmums no Valsts kases nav jāiesniedz</w:t>
            </w:r>
            <w:r w:rsidR="0083486A">
              <w:rPr>
                <w:b/>
                <w:sz w:val="22"/>
              </w:rPr>
              <w:t>.</w:t>
            </w:r>
          </w:p>
        </w:tc>
      </w:tr>
      <w:tr w:rsidR="00F6138F" w:rsidRPr="00F6138F" w14:paraId="544F73BE" w14:textId="77777777" w:rsidTr="00F6138F">
        <w:trPr>
          <w:cantSplit/>
        </w:trPr>
        <w:tc>
          <w:tcPr>
            <w:tcW w:w="645" w:type="dxa"/>
          </w:tcPr>
          <w:p w14:paraId="70725077" w14:textId="07182508" w:rsidR="00F6138F" w:rsidRPr="00F6138F" w:rsidRDefault="00F6138F" w:rsidP="00AB59BD">
            <w:pPr>
              <w:jc w:val="center"/>
              <w:rPr>
                <w:rFonts w:ascii="Times New Roman" w:hAnsi="Times New Roman"/>
                <w:sz w:val="22"/>
              </w:rPr>
            </w:pPr>
            <w:r w:rsidRPr="00F6138F">
              <w:rPr>
                <w:rFonts w:ascii="Times New Roman" w:hAnsi="Times New Roman"/>
                <w:sz w:val="22"/>
              </w:rPr>
              <w:lastRenderedPageBreak/>
              <w:t>16.</w:t>
            </w:r>
          </w:p>
        </w:tc>
        <w:tc>
          <w:tcPr>
            <w:tcW w:w="6754" w:type="dxa"/>
          </w:tcPr>
          <w:p w14:paraId="44DF1956" w14:textId="77777777" w:rsidR="00F6138F" w:rsidRPr="00F6138F" w:rsidRDefault="00F6138F" w:rsidP="00F6138F">
            <w:pPr>
              <w:autoSpaceDE w:val="0"/>
              <w:autoSpaceDN w:val="0"/>
              <w:jc w:val="both"/>
              <w:rPr>
                <w:rFonts w:ascii="Times New Roman" w:hAnsi="Times New Roman"/>
                <w:color w:val="000000"/>
                <w:sz w:val="22"/>
              </w:rPr>
            </w:pPr>
            <w:r w:rsidRPr="00F6138F">
              <w:rPr>
                <w:rFonts w:ascii="Times New Roman" w:hAnsi="Times New Roman"/>
                <w:color w:val="000000"/>
                <w:sz w:val="22"/>
              </w:rPr>
              <w:t xml:space="preserve">Kur var lejupielādēt projekta atklāta konkursa "Siltumnīcefekta gāzu emisiju samazināšana - zema enerģijas patēriņa ēkas" iesnieguma veidlapu </w:t>
            </w:r>
            <w:proofErr w:type="spellStart"/>
            <w:r w:rsidRPr="00F6138F">
              <w:rPr>
                <w:rFonts w:ascii="Times New Roman" w:hAnsi="Times New Roman"/>
                <w:color w:val="000000"/>
                <w:sz w:val="22"/>
              </w:rPr>
              <w:t>word</w:t>
            </w:r>
            <w:proofErr w:type="spellEnd"/>
            <w:r w:rsidRPr="00F6138F">
              <w:rPr>
                <w:rFonts w:ascii="Times New Roman" w:hAnsi="Times New Roman"/>
                <w:color w:val="000000"/>
                <w:sz w:val="22"/>
              </w:rPr>
              <w:t xml:space="preserve"> </w:t>
            </w:r>
            <w:proofErr w:type="spellStart"/>
            <w:r w:rsidRPr="00F6138F">
              <w:rPr>
                <w:rFonts w:ascii="Times New Roman" w:hAnsi="Times New Roman"/>
                <w:color w:val="000000"/>
                <w:sz w:val="22"/>
              </w:rPr>
              <w:t>formatā</w:t>
            </w:r>
            <w:proofErr w:type="spellEnd"/>
            <w:r w:rsidRPr="00F6138F">
              <w:rPr>
                <w:rFonts w:ascii="Times New Roman" w:hAnsi="Times New Roman"/>
                <w:color w:val="000000"/>
                <w:sz w:val="22"/>
              </w:rPr>
              <w:t xml:space="preserve"> ( MK noteikumu Nr.69 no 26.01.2016. “Emisijas kvotu izsolīšanas instrumenta finansēto projektu atklāta konkursa “Siltumnīcefekta gāzu emisiju samazināšana – zema enerģijas patēriņa ēkas” nolikums ”</w:t>
            </w:r>
            <w:proofErr w:type="gramStart"/>
            <w:r w:rsidRPr="00F6138F">
              <w:rPr>
                <w:rFonts w:ascii="Times New Roman" w:hAnsi="Times New Roman"/>
                <w:color w:val="000000"/>
                <w:sz w:val="22"/>
              </w:rPr>
              <w:t xml:space="preserve">  </w:t>
            </w:r>
            <w:proofErr w:type="gramEnd"/>
            <w:r w:rsidRPr="00F6138F">
              <w:rPr>
                <w:rFonts w:ascii="Times New Roman" w:hAnsi="Times New Roman"/>
                <w:color w:val="000000"/>
                <w:sz w:val="22"/>
              </w:rPr>
              <w:t xml:space="preserve">4.pielikums)?  </w:t>
            </w:r>
          </w:p>
          <w:p w14:paraId="3DDBC857" w14:textId="77777777" w:rsidR="00F6138F" w:rsidRPr="00F6138F" w:rsidRDefault="00F6138F" w:rsidP="00F6138F">
            <w:pPr>
              <w:autoSpaceDE w:val="0"/>
              <w:autoSpaceDN w:val="0"/>
              <w:jc w:val="both"/>
              <w:rPr>
                <w:rFonts w:ascii="Times New Roman" w:hAnsi="Times New Roman"/>
                <w:color w:val="000000"/>
                <w:sz w:val="22"/>
              </w:rPr>
            </w:pPr>
            <w:r w:rsidRPr="00F6138F">
              <w:rPr>
                <w:rFonts w:ascii="Times New Roman" w:hAnsi="Times New Roman"/>
                <w:color w:val="000000"/>
                <w:sz w:val="22"/>
              </w:rPr>
              <w:t>http://www.varam.gov.lv/lat/fondi/ekii/projekti/siltumnicefekta_gazu_emisiju_samazinasana___zema_energijas_paterina_ekas/parskati_un_veidlapas/ nav neviena dokumenta.</w:t>
            </w:r>
          </w:p>
          <w:p w14:paraId="6C85D266" w14:textId="33A1921D" w:rsidR="00F6138F" w:rsidRPr="00F6138F" w:rsidRDefault="00F6138F" w:rsidP="00F6138F">
            <w:pPr>
              <w:autoSpaceDE w:val="0"/>
              <w:autoSpaceDN w:val="0"/>
              <w:jc w:val="both"/>
              <w:rPr>
                <w:rFonts w:ascii="Times New Roman" w:hAnsi="Times New Roman"/>
                <w:color w:val="000000"/>
                <w:sz w:val="22"/>
              </w:rPr>
            </w:pPr>
            <w:r w:rsidRPr="00F6138F">
              <w:rPr>
                <w:rFonts w:ascii="Times New Roman" w:hAnsi="Times New Roman"/>
                <w:color w:val="000000"/>
                <w:sz w:val="22"/>
              </w:rPr>
              <w:t>http://www.varam.gov.lv/lat/fondi/ekii/projekti/siltumnicefekta_gazu_emisiju_samazinasana___zema_energijas_paterina_ekas/vadlinijas/ arī nav.</w:t>
            </w:r>
          </w:p>
        </w:tc>
        <w:tc>
          <w:tcPr>
            <w:tcW w:w="7227" w:type="dxa"/>
          </w:tcPr>
          <w:p w14:paraId="64E585EB" w14:textId="1B79FBA3" w:rsidR="00F6138F" w:rsidRPr="00F6138F" w:rsidRDefault="00F6138F" w:rsidP="0083486A">
            <w:pPr>
              <w:jc w:val="both"/>
              <w:rPr>
                <w:rFonts w:ascii="Times New Roman" w:hAnsi="Times New Roman"/>
                <w:color w:val="000000"/>
                <w:sz w:val="22"/>
              </w:rPr>
            </w:pPr>
            <w:r w:rsidRPr="00F6138F">
              <w:rPr>
                <w:rFonts w:ascii="Times New Roman" w:hAnsi="Times New Roman"/>
                <w:sz w:val="22"/>
              </w:rPr>
              <w:t xml:space="preserve">Projekta iesnieguma veidlapas elektroniskā forma ir publicēta tīmekļa adresē: </w:t>
            </w:r>
            <w:hyperlink r:id="rId11" w:history="1">
              <w:r w:rsidRPr="00F6138F">
                <w:rPr>
                  <w:rStyle w:val="Hyperlink"/>
                  <w:rFonts w:ascii="Times New Roman" w:hAnsi="Times New Roman"/>
                  <w:sz w:val="22"/>
                </w:rPr>
                <w:t>http://www.likumi.lv/wwwraksti/2016/030/69/P4.DOCX</w:t>
              </w:r>
            </w:hyperlink>
            <w:r w:rsidRPr="00F6138F">
              <w:rPr>
                <w:rFonts w:ascii="Times New Roman" w:hAnsi="Times New Roman"/>
                <w:sz w:val="22"/>
              </w:rPr>
              <w:t xml:space="preserve"> </w:t>
            </w:r>
          </w:p>
        </w:tc>
      </w:tr>
      <w:tr w:rsidR="008F5942" w:rsidRPr="008F5942" w14:paraId="455DCDF1" w14:textId="77777777" w:rsidTr="00F6138F">
        <w:trPr>
          <w:cantSplit/>
        </w:trPr>
        <w:tc>
          <w:tcPr>
            <w:tcW w:w="645" w:type="dxa"/>
          </w:tcPr>
          <w:p w14:paraId="6164FFAE" w14:textId="17B3646D" w:rsidR="008F5942" w:rsidRPr="008F5942" w:rsidRDefault="008F5942" w:rsidP="00AB59BD">
            <w:pPr>
              <w:jc w:val="center"/>
              <w:rPr>
                <w:rFonts w:ascii="Times New Roman" w:hAnsi="Times New Roman"/>
                <w:sz w:val="22"/>
              </w:rPr>
            </w:pPr>
            <w:r w:rsidRPr="008F5942">
              <w:rPr>
                <w:rFonts w:ascii="Times New Roman" w:hAnsi="Times New Roman"/>
                <w:sz w:val="22"/>
              </w:rPr>
              <w:t>17.</w:t>
            </w:r>
          </w:p>
        </w:tc>
        <w:tc>
          <w:tcPr>
            <w:tcW w:w="6754" w:type="dxa"/>
          </w:tcPr>
          <w:p w14:paraId="51FE9CFE" w14:textId="14AAA1D2" w:rsidR="008F5942" w:rsidRPr="008F5942" w:rsidRDefault="008F5942" w:rsidP="008F5942">
            <w:pPr>
              <w:autoSpaceDE w:val="0"/>
              <w:autoSpaceDN w:val="0"/>
              <w:jc w:val="both"/>
              <w:rPr>
                <w:rFonts w:ascii="Times New Roman" w:hAnsi="Times New Roman"/>
                <w:color w:val="000000"/>
                <w:sz w:val="22"/>
              </w:rPr>
            </w:pPr>
            <w:r w:rsidRPr="008F5942">
              <w:rPr>
                <w:rFonts w:ascii="Times New Roman" w:hAnsi="Times New Roman"/>
                <w:color w:val="000000"/>
                <w:sz w:val="22"/>
              </w:rPr>
              <w:t xml:space="preserve">Lūdzam precizēt un rakstiski apstiprināt, kurš rādītājs jānorāda projekta iesnieguma veidlapas 2.9.sadaļā, 1.punktā – enerģijas patēriņš apkurei uz ēkas aprēķina platību, gadījumā, ja ēkas griestu vidējais augstums pārsniedz 3,5 m un ir veikta apkures patēriņa korekcija: </w:t>
            </w:r>
            <w:proofErr w:type="spellStart"/>
            <w:r w:rsidRPr="008F5942">
              <w:rPr>
                <w:rFonts w:ascii="Times New Roman" w:hAnsi="Times New Roman"/>
                <w:color w:val="000000"/>
                <w:sz w:val="22"/>
              </w:rPr>
              <w:t>īpatnejais</w:t>
            </w:r>
            <w:proofErr w:type="spellEnd"/>
            <w:r w:rsidRPr="008F5942">
              <w:rPr>
                <w:rFonts w:ascii="Times New Roman" w:hAnsi="Times New Roman"/>
                <w:color w:val="000000"/>
                <w:sz w:val="22"/>
              </w:rPr>
              <w:t xml:space="preserve"> patēriņš (kWh/m2 gadā), kas iegūts, dalot kopējo vidējo enerģijas patēriņu apkurei ar aprēķina platību; vai pārrēķinātais enerģijas patēriņš (kWh/m2 gadā) uz ēkas aprēķina platību (7.tabula Pārskatā par ēkas energosertifikāta aprēķinos izmantotajām ievaddatu vērtībām)?</w:t>
            </w:r>
          </w:p>
          <w:p w14:paraId="7AB1AFAB" w14:textId="2FD9A45A" w:rsidR="008F5942" w:rsidRPr="008F5942" w:rsidRDefault="008F5942" w:rsidP="008F5942">
            <w:pPr>
              <w:autoSpaceDE w:val="0"/>
              <w:autoSpaceDN w:val="0"/>
              <w:jc w:val="both"/>
              <w:rPr>
                <w:rFonts w:ascii="Times New Roman" w:hAnsi="Times New Roman"/>
                <w:color w:val="000000"/>
                <w:sz w:val="22"/>
              </w:rPr>
            </w:pPr>
            <w:r w:rsidRPr="008F5942">
              <w:rPr>
                <w:rFonts w:ascii="Times New Roman" w:hAnsi="Times New Roman"/>
                <w:color w:val="000000"/>
                <w:sz w:val="22"/>
              </w:rPr>
              <w:t>Vai projekta iesnieguma veidlapas citās sadaļās (piemēram, 2.2. vai 2.3.) ir jānorāda abi patēriņa rādītāji – pārrēķinātais un nepārrēķinātais?</w:t>
            </w:r>
          </w:p>
        </w:tc>
        <w:tc>
          <w:tcPr>
            <w:tcW w:w="7227" w:type="dxa"/>
          </w:tcPr>
          <w:p w14:paraId="3A48ECE3" w14:textId="0CBB4A3F" w:rsidR="008F5942" w:rsidRPr="00B21B83" w:rsidRDefault="008F5942" w:rsidP="00D606D7">
            <w:pPr>
              <w:jc w:val="both"/>
              <w:rPr>
                <w:rFonts w:ascii="Times New Roman" w:hAnsi="Times New Roman"/>
                <w:sz w:val="22"/>
              </w:rPr>
            </w:pPr>
            <w:r w:rsidRPr="00B21B83">
              <w:rPr>
                <w:rFonts w:ascii="Times New Roman" w:hAnsi="Times New Roman"/>
                <w:sz w:val="22"/>
              </w:rPr>
              <w:t>Saskaņā ar vadlīnij</w:t>
            </w:r>
            <w:r w:rsidR="000E06CE" w:rsidRPr="00B21B83">
              <w:rPr>
                <w:rFonts w:ascii="Times New Roman" w:hAnsi="Times New Roman"/>
                <w:sz w:val="22"/>
              </w:rPr>
              <w:t>u</w:t>
            </w:r>
            <w:r w:rsidRPr="00B21B83">
              <w:rPr>
                <w:rFonts w:ascii="Times New Roman" w:hAnsi="Times New Roman"/>
                <w:sz w:val="22"/>
              </w:rPr>
              <w:t xml:space="preserve"> </w:t>
            </w:r>
            <w:r w:rsidR="000E06CE" w:rsidRPr="00B21B83">
              <w:rPr>
                <w:rFonts w:ascii="Times New Roman" w:hAnsi="Times New Roman"/>
                <w:sz w:val="22"/>
              </w:rPr>
              <w:t xml:space="preserve">projektu iesniedzējiem </w:t>
            </w:r>
            <w:r w:rsidR="00E85F5C" w:rsidRPr="00B21B83">
              <w:rPr>
                <w:rFonts w:ascii="Times New Roman" w:hAnsi="Times New Roman"/>
                <w:sz w:val="22"/>
              </w:rPr>
              <w:t>EKII</w:t>
            </w:r>
            <w:r w:rsidR="000E06CE" w:rsidRPr="00B21B83">
              <w:rPr>
                <w:rFonts w:ascii="Times New Roman" w:hAnsi="Times New Roman"/>
                <w:sz w:val="22"/>
              </w:rPr>
              <w:t xml:space="preserve"> finansētā </w:t>
            </w:r>
            <w:r w:rsidR="00E85F5C" w:rsidRPr="00B21B83">
              <w:rPr>
                <w:rFonts w:ascii="Times New Roman" w:hAnsi="Times New Roman"/>
                <w:sz w:val="22"/>
              </w:rPr>
              <w:t>konkursa</w:t>
            </w:r>
            <w:r w:rsidR="000E06CE" w:rsidRPr="00B21B83">
              <w:rPr>
                <w:rFonts w:ascii="Times New Roman" w:hAnsi="Times New Roman"/>
                <w:sz w:val="22"/>
              </w:rPr>
              <w:t xml:space="preserve"> ietvaros (1.redakcija) 2.6. un 2.8. sadaļās sniegto skaidrojumu</w:t>
            </w:r>
            <w:r w:rsidR="00B21B83">
              <w:rPr>
                <w:rFonts w:ascii="Times New Roman" w:hAnsi="Times New Roman"/>
                <w:sz w:val="22"/>
              </w:rPr>
              <w:t>,</w:t>
            </w:r>
            <w:r w:rsidR="000E06CE" w:rsidRPr="00B21B83">
              <w:rPr>
                <w:rFonts w:ascii="Times New Roman" w:hAnsi="Times New Roman"/>
                <w:sz w:val="22"/>
              </w:rPr>
              <w:t xml:space="preserve"> </w:t>
            </w:r>
            <w:r w:rsidRPr="00B21B83">
              <w:rPr>
                <w:rFonts w:ascii="Times New Roman" w:hAnsi="Times New Roman"/>
                <w:b/>
                <w:sz w:val="22"/>
              </w:rPr>
              <w:t xml:space="preserve">ir jānorāda </w:t>
            </w:r>
            <w:r w:rsidR="000E06CE" w:rsidRPr="00B21B83">
              <w:rPr>
                <w:rFonts w:ascii="Times New Roman" w:hAnsi="Times New Roman"/>
                <w:b/>
                <w:sz w:val="22"/>
              </w:rPr>
              <w:t xml:space="preserve">enerģijas patēriņa apkurei uz ēkas aprēķina platību pārrēķinātais </w:t>
            </w:r>
            <w:r w:rsidRPr="00B21B83">
              <w:rPr>
                <w:rFonts w:ascii="Times New Roman" w:hAnsi="Times New Roman"/>
                <w:b/>
                <w:sz w:val="22"/>
              </w:rPr>
              <w:t>rādītājs</w:t>
            </w:r>
            <w:r w:rsidRPr="00B21B83">
              <w:rPr>
                <w:rFonts w:ascii="Times New Roman" w:hAnsi="Times New Roman"/>
                <w:sz w:val="22"/>
              </w:rPr>
              <w:t>:</w:t>
            </w:r>
            <w:r w:rsidR="007152E1" w:rsidRPr="00B21B83">
              <w:rPr>
                <w:rFonts w:ascii="Times New Roman" w:hAnsi="Times New Roman"/>
                <w:sz w:val="22"/>
              </w:rPr>
              <w:t xml:space="preserve"> </w:t>
            </w:r>
            <w:r w:rsidRPr="00B21B83">
              <w:rPr>
                <w:rFonts w:ascii="Times New Roman" w:hAnsi="Times New Roman"/>
                <w:sz w:val="22"/>
              </w:rPr>
              <w:t>ja plānota ēkas pārbūve vai atjaunošana, pārskatā par ēkas energosertifikāta aprēķinos izmantotajām ievaddatu vērtībām</w:t>
            </w:r>
            <w:r w:rsidR="00422722" w:rsidRPr="00B21B83">
              <w:rPr>
                <w:rFonts w:ascii="Times New Roman" w:hAnsi="Times New Roman"/>
                <w:sz w:val="22"/>
              </w:rPr>
              <w:t xml:space="preserve"> 1.pielikuma</w:t>
            </w:r>
            <w:r w:rsidRPr="00B21B83">
              <w:rPr>
                <w:rFonts w:ascii="Times New Roman" w:hAnsi="Times New Roman"/>
                <w:sz w:val="22"/>
              </w:rPr>
              <w:t xml:space="preserve"> 7.tabulas 7.1. </w:t>
            </w:r>
            <w:r w:rsidR="00422722" w:rsidRPr="00B21B83">
              <w:rPr>
                <w:rFonts w:ascii="Times New Roman" w:hAnsi="Times New Roman"/>
                <w:sz w:val="22"/>
              </w:rPr>
              <w:t>apakšpunkta 6.ailē</w:t>
            </w:r>
            <w:r w:rsidRPr="00B21B83">
              <w:rPr>
                <w:rFonts w:ascii="Times New Roman" w:hAnsi="Times New Roman"/>
                <w:sz w:val="22"/>
              </w:rPr>
              <w:t xml:space="preserve"> norādīto </w:t>
            </w:r>
            <w:r w:rsidR="00422722" w:rsidRPr="00B21B83">
              <w:rPr>
                <w:rFonts w:ascii="Times New Roman" w:hAnsi="Times New Roman"/>
                <w:sz w:val="22"/>
              </w:rPr>
              <w:t>rādītāju (</w:t>
            </w:r>
            <w:r w:rsidRPr="00B21B83">
              <w:rPr>
                <w:rFonts w:ascii="Times New Roman" w:hAnsi="Times New Roman"/>
                <w:sz w:val="22"/>
              </w:rPr>
              <w:t>kopēj</w:t>
            </w:r>
            <w:r w:rsidR="00422722" w:rsidRPr="00B21B83">
              <w:rPr>
                <w:rFonts w:ascii="Times New Roman" w:hAnsi="Times New Roman"/>
                <w:sz w:val="22"/>
              </w:rPr>
              <w:t>ā enerģijas patēriņa prognoze pēc energoefektivitātes pasākumu īstenošanas,</w:t>
            </w:r>
            <w:r w:rsidRPr="00B21B83">
              <w:rPr>
                <w:rFonts w:ascii="Times New Roman" w:hAnsi="Times New Roman"/>
                <w:sz w:val="22"/>
              </w:rPr>
              <w:t xml:space="preserve"> kWh gadā</w:t>
            </w:r>
            <w:r w:rsidR="00422722" w:rsidRPr="00B21B83">
              <w:rPr>
                <w:rFonts w:ascii="Times New Roman" w:hAnsi="Times New Roman"/>
                <w:sz w:val="22"/>
              </w:rPr>
              <w:t>)</w:t>
            </w:r>
            <w:r w:rsidR="00C8661C" w:rsidRPr="00B21B83">
              <w:rPr>
                <w:rFonts w:ascii="Times New Roman" w:hAnsi="Times New Roman"/>
                <w:sz w:val="22"/>
              </w:rPr>
              <w:t xml:space="preserve"> izdala ar ēkas aprēķina (apkurināmo) platību, kas norādīts projekta iesnieguma veidlapas 2.6.tabulas 1.5.apakšpunktā (norāda pārrēķināto telpu platību, ja telpu augstums pārsniedz 3,5 metrus)</w:t>
            </w:r>
            <w:r w:rsidR="007152E1" w:rsidRPr="00B21B83">
              <w:rPr>
                <w:rFonts w:ascii="Times New Roman" w:hAnsi="Times New Roman"/>
                <w:sz w:val="22"/>
              </w:rPr>
              <w:t>.</w:t>
            </w:r>
          </w:p>
          <w:p w14:paraId="0DAD1DD3" w14:textId="5C5E9DCA" w:rsidR="008F5942" w:rsidRPr="008F5942" w:rsidRDefault="008F5942" w:rsidP="008F5942">
            <w:pPr>
              <w:jc w:val="both"/>
              <w:rPr>
                <w:rFonts w:ascii="Times New Roman" w:hAnsi="Times New Roman"/>
                <w:sz w:val="22"/>
              </w:rPr>
            </w:pPr>
            <w:r w:rsidRPr="00B21B83">
              <w:rPr>
                <w:rFonts w:ascii="Times New Roman" w:hAnsi="Times New Roman"/>
                <w:sz w:val="22"/>
              </w:rPr>
              <w:t>Projekta iesnieguma veidlapu citās sadaļās ir jānorāda projekta iesnieguma veidlapas 2.9.tabul</w:t>
            </w:r>
            <w:r w:rsidR="00C8661C" w:rsidRPr="00B21B83">
              <w:rPr>
                <w:rFonts w:ascii="Times New Roman" w:hAnsi="Times New Roman"/>
                <w:sz w:val="22"/>
              </w:rPr>
              <w:t>as</w:t>
            </w:r>
            <w:r w:rsidRPr="00B21B83">
              <w:rPr>
                <w:rFonts w:ascii="Times New Roman" w:hAnsi="Times New Roman"/>
                <w:sz w:val="22"/>
              </w:rPr>
              <w:t xml:space="preserve"> 1. rindā norādītais rādītājs.</w:t>
            </w:r>
          </w:p>
        </w:tc>
      </w:tr>
      <w:tr w:rsidR="008F5942" w:rsidRPr="008F5942" w14:paraId="1490F27D" w14:textId="77777777" w:rsidTr="00F6138F">
        <w:trPr>
          <w:cantSplit/>
        </w:trPr>
        <w:tc>
          <w:tcPr>
            <w:tcW w:w="645" w:type="dxa"/>
          </w:tcPr>
          <w:p w14:paraId="6B0C8790" w14:textId="63CFA848" w:rsidR="008F5942" w:rsidRPr="008F5942" w:rsidRDefault="008F5942" w:rsidP="00AB59BD">
            <w:pPr>
              <w:jc w:val="center"/>
              <w:rPr>
                <w:rFonts w:ascii="Times New Roman" w:hAnsi="Times New Roman"/>
                <w:sz w:val="22"/>
              </w:rPr>
            </w:pPr>
            <w:r w:rsidRPr="008F5942">
              <w:rPr>
                <w:rFonts w:ascii="Times New Roman" w:hAnsi="Times New Roman"/>
                <w:sz w:val="22"/>
              </w:rPr>
              <w:t>18.</w:t>
            </w:r>
          </w:p>
        </w:tc>
        <w:tc>
          <w:tcPr>
            <w:tcW w:w="6754" w:type="dxa"/>
          </w:tcPr>
          <w:p w14:paraId="22C167D4" w14:textId="5434578B" w:rsidR="008F5942" w:rsidRPr="008F5942" w:rsidRDefault="008F5942" w:rsidP="008F5942">
            <w:pPr>
              <w:autoSpaceDE w:val="0"/>
              <w:autoSpaceDN w:val="0"/>
              <w:jc w:val="both"/>
              <w:rPr>
                <w:rFonts w:ascii="Times New Roman" w:hAnsi="Times New Roman"/>
                <w:color w:val="000000"/>
                <w:sz w:val="22"/>
              </w:rPr>
            </w:pPr>
            <w:r w:rsidRPr="008F5942">
              <w:rPr>
                <w:rFonts w:ascii="Times New Roman" w:hAnsi="Times New Roman"/>
                <w:color w:val="000000"/>
                <w:sz w:val="22"/>
              </w:rPr>
              <w:t>03.05.2016 publicētajās konkursa Vērtēšanas vadlīnijās 1.14. vērtēšanas kritērijs (12.lpp) nosaka, ka „Projekta iesnieguma veidlapā 2.10. punkts ir aizpildīts un ir minēts plānotais cilvēku skaits, kas vienlaicīgi uzturēsies ēkā, un apmeklētāju skaits ēkā pēc projekta īstenošanas beigu termiņa. Ir jābūt klāt pievienotam aprēķinam par apmeklētāju skaitu un norādīts cik no tiem būs par maksu. Informācijai ir jāsakrīt ar projekta iesnieguma veidlapas 2.9. sadaļā norādīto informāciju”.</w:t>
            </w:r>
          </w:p>
          <w:p w14:paraId="5AB99672" w14:textId="23E7129A" w:rsidR="008F5942" w:rsidRPr="008F5942" w:rsidRDefault="008F5942" w:rsidP="008F5942">
            <w:pPr>
              <w:autoSpaceDE w:val="0"/>
              <w:autoSpaceDN w:val="0"/>
              <w:jc w:val="both"/>
              <w:rPr>
                <w:rFonts w:ascii="Times New Roman" w:hAnsi="Times New Roman"/>
                <w:color w:val="000000"/>
                <w:sz w:val="22"/>
              </w:rPr>
            </w:pPr>
            <w:r w:rsidRPr="008F5942">
              <w:rPr>
                <w:rFonts w:ascii="Times New Roman" w:hAnsi="Times New Roman"/>
                <w:color w:val="000000"/>
                <w:sz w:val="22"/>
              </w:rPr>
              <w:t>Lūdzam skaidrot vai, gadījumā, kad projekta iesniedzējs ēkā neveiks saimniecisko darbību, ir jānorāda, cik no apmeklētājiem būs par maksu</w:t>
            </w:r>
            <w:r>
              <w:rPr>
                <w:rFonts w:ascii="Times New Roman" w:hAnsi="Times New Roman"/>
                <w:color w:val="000000"/>
                <w:sz w:val="22"/>
              </w:rPr>
              <w:t>?</w:t>
            </w:r>
          </w:p>
        </w:tc>
        <w:tc>
          <w:tcPr>
            <w:tcW w:w="7227" w:type="dxa"/>
          </w:tcPr>
          <w:p w14:paraId="1CCD8C6D" w14:textId="4B7E1814" w:rsidR="008F5942" w:rsidRPr="008F5942" w:rsidRDefault="00215868" w:rsidP="00B21B83">
            <w:pPr>
              <w:jc w:val="both"/>
              <w:rPr>
                <w:rFonts w:ascii="Times New Roman" w:hAnsi="Times New Roman"/>
                <w:sz w:val="22"/>
              </w:rPr>
            </w:pPr>
            <w:r>
              <w:rPr>
                <w:rFonts w:ascii="Times New Roman" w:hAnsi="Times New Roman"/>
                <w:sz w:val="22"/>
              </w:rPr>
              <w:t>MK noteikumu Nr.69 4.pielikuma 2.9. un 2.10.sadaļas neparedz nodalīt plānoto apmeklētāju skaitu, kas apmeklēs ēku “par maksu” vai “bez maksas”. Tomēr, lai pilnvērtīgi izvērtētu projekta iesniegumu n</w:t>
            </w:r>
            <w:r w:rsidR="00480427">
              <w:rPr>
                <w:rFonts w:ascii="Times New Roman" w:hAnsi="Times New Roman"/>
                <w:sz w:val="22"/>
              </w:rPr>
              <w:t>eatkarīgi no</w:t>
            </w:r>
            <w:r w:rsidR="008F5942" w:rsidRPr="008F5942">
              <w:rPr>
                <w:rFonts w:ascii="Times New Roman" w:hAnsi="Times New Roman"/>
                <w:sz w:val="22"/>
              </w:rPr>
              <w:t xml:space="preserve"> projekta iesniedzēj</w:t>
            </w:r>
            <w:r w:rsidR="00480427">
              <w:rPr>
                <w:rFonts w:ascii="Times New Roman" w:hAnsi="Times New Roman"/>
                <w:sz w:val="22"/>
              </w:rPr>
              <w:t>a statusa un saimnieciskās darbības veikšanas</w:t>
            </w:r>
            <w:r>
              <w:rPr>
                <w:rFonts w:ascii="Times New Roman" w:hAnsi="Times New Roman"/>
                <w:sz w:val="22"/>
              </w:rPr>
              <w:t>/neveikšanas ēkā</w:t>
            </w:r>
            <w:r w:rsidR="00480427">
              <w:rPr>
                <w:rFonts w:ascii="Times New Roman" w:hAnsi="Times New Roman"/>
                <w:sz w:val="22"/>
              </w:rPr>
              <w:t xml:space="preserve"> </w:t>
            </w:r>
            <w:r w:rsidR="00480427" w:rsidRPr="007F48F7">
              <w:rPr>
                <w:rFonts w:ascii="Times New Roman" w:hAnsi="Times New Roman"/>
                <w:sz w:val="22"/>
              </w:rPr>
              <w:t>ir jā</w:t>
            </w:r>
            <w:r w:rsidR="008F5942" w:rsidRPr="007F48F7">
              <w:rPr>
                <w:rFonts w:ascii="Times New Roman" w:hAnsi="Times New Roman"/>
                <w:sz w:val="22"/>
              </w:rPr>
              <w:t>norāda</w:t>
            </w:r>
            <w:r w:rsidR="00480427" w:rsidRPr="007F48F7">
              <w:rPr>
                <w:rFonts w:ascii="Times New Roman" w:hAnsi="Times New Roman"/>
                <w:sz w:val="22"/>
              </w:rPr>
              <w:t>,</w:t>
            </w:r>
            <w:r w:rsidR="008F5942" w:rsidRPr="007F48F7">
              <w:rPr>
                <w:rFonts w:ascii="Times New Roman" w:hAnsi="Times New Roman"/>
                <w:sz w:val="22"/>
              </w:rPr>
              <w:t xml:space="preserve"> </w:t>
            </w:r>
            <w:r w:rsidR="00480427" w:rsidRPr="007F48F7">
              <w:rPr>
                <w:rFonts w:ascii="Times New Roman" w:hAnsi="Times New Roman"/>
                <w:sz w:val="22"/>
              </w:rPr>
              <w:t xml:space="preserve">cik apmeklētāji </w:t>
            </w:r>
            <w:r>
              <w:rPr>
                <w:rFonts w:ascii="Times New Roman" w:hAnsi="Times New Roman"/>
                <w:sz w:val="22"/>
              </w:rPr>
              <w:t xml:space="preserve">ēku apmeklēs </w:t>
            </w:r>
            <w:r w:rsidR="00480427" w:rsidRPr="007F48F7">
              <w:rPr>
                <w:rFonts w:ascii="Times New Roman" w:hAnsi="Times New Roman"/>
                <w:sz w:val="22"/>
              </w:rPr>
              <w:t>par maksu</w:t>
            </w:r>
            <w:r>
              <w:rPr>
                <w:rFonts w:ascii="Times New Roman" w:hAnsi="Times New Roman"/>
                <w:sz w:val="22"/>
              </w:rPr>
              <w:t> </w:t>
            </w:r>
            <w:r w:rsidR="00480427" w:rsidRPr="007F48F7">
              <w:rPr>
                <w:rFonts w:ascii="Times New Roman" w:hAnsi="Times New Roman"/>
                <w:sz w:val="22"/>
              </w:rPr>
              <w:t>–</w:t>
            </w:r>
            <w:r>
              <w:rPr>
                <w:rFonts w:ascii="Times New Roman" w:hAnsi="Times New Roman"/>
                <w:b/>
                <w:sz w:val="22"/>
              </w:rPr>
              <w:t> </w:t>
            </w:r>
            <w:r w:rsidR="00480427">
              <w:rPr>
                <w:rFonts w:ascii="Times New Roman" w:hAnsi="Times New Roman"/>
                <w:b/>
                <w:sz w:val="22"/>
              </w:rPr>
              <w:t>ja</w:t>
            </w:r>
            <w:r>
              <w:rPr>
                <w:rFonts w:ascii="Times New Roman" w:hAnsi="Times New Roman"/>
                <w:b/>
                <w:sz w:val="22"/>
              </w:rPr>
              <w:t xml:space="preserve"> ēkas apmeklētāji par maksu</w:t>
            </w:r>
            <w:r w:rsidR="00480427">
              <w:rPr>
                <w:rFonts w:ascii="Times New Roman" w:hAnsi="Times New Roman"/>
                <w:b/>
                <w:sz w:val="22"/>
              </w:rPr>
              <w:t xml:space="preserve"> netiek plānot</w:t>
            </w:r>
            <w:r>
              <w:rPr>
                <w:rFonts w:ascii="Times New Roman" w:hAnsi="Times New Roman"/>
                <w:b/>
                <w:sz w:val="22"/>
              </w:rPr>
              <w:t>i</w:t>
            </w:r>
            <w:r w:rsidR="00480427">
              <w:rPr>
                <w:rFonts w:ascii="Times New Roman" w:hAnsi="Times New Roman"/>
                <w:b/>
                <w:sz w:val="22"/>
              </w:rPr>
              <w:t xml:space="preserve">, tad norāda </w:t>
            </w:r>
            <w:r>
              <w:rPr>
                <w:rFonts w:ascii="Times New Roman" w:hAnsi="Times New Roman"/>
                <w:b/>
                <w:sz w:val="22"/>
              </w:rPr>
              <w:t>“</w:t>
            </w:r>
            <w:r w:rsidR="00480427">
              <w:rPr>
                <w:rFonts w:ascii="Times New Roman" w:hAnsi="Times New Roman"/>
                <w:b/>
                <w:sz w:val="22"/>
              </w:rPr>
              <w:t>0 apmeklētāji</w:t>
            </w:r>
            <w:r w:rsidR="007F48F7">
              <w:rPr>
                <w:rFonts w:ascii="Times New Roman" w:hAnsi="Times New Roman"/>
                <w:b/>
                <w:sz w:val="22"/>
              </w:rPr>
              <w:t xml:space="preserve"> par maksu</w:t>
            </w:r>
            <w:r>
              <w:rPr>
                <w:rFonts w:ascii="Times New Roman" w:hAnsi="Times New Roman"/>
                <w:b/>
                <w:sz w:val="22"/>
              </w:rPr>
              <w:t>”</w:t>
            </w:r>
            <w:r w:rsidR="00480427">
              <w:rPr>
                <w:rFonts w:ascii="Times New Roman" w:hAnsi="Times New Roman"/>
                <w:b/>
                <w:sz w:val="22"/>
              </w:rPr>
              <w:t>.</w:t>
            </w:r>
          </w:p>
        </w:tc>
      </w:tr>
      <w:tr w:rsidR="008F5942" w:rsidRPr="008F5942" w14:paraId="3FFB8AA4" w14:textId="77777777" w:rsidTr="00F6138F">
        <w:trPr>
          <w:cantSplit/>
        </w:trPr>
        <w:tc>
          <w:tcPr>
            <w:tcW w:w="645" w:type="dxa"/>
          </w:tcPr>
          <w:p w14:paraId="032A6AB3" w14:textId="70FDA144" w:rsidR="008F5942" w:rsidRPr="008F5942" w:rsidRDefault="008F5942" w:rsidP="00AB59BD">
            <w:pPr>
              <w:jc w:val="center"/>
              <w:rPr>
                <w:rFonts w:ascii="Times New Roman" w:hAnsi="Times New Roman"/>
                <w:sz w:val="22"/>
              </w:rPr>
            </w:pPr>
            <w:r w:rsidRPr="008F5942">
              <w:rPr>
                <w:rFonts w:ascii="Times New Roman" w:hAnsi="Times New Roman"/>
                <w:sz w:val="22"/>
              </w:rPr>
              <w:lastRenderedPageBreak/>
              <w:t>19.</w:t>
            </w:r>
          </w:p>
        </w:tc>
        <w:tc>
          <w:tcPr>
            <w:tcW w:w="6754" w:type="dxa"/>
          </w:tcPr>
          <w:p w14:paraId="3742A5D7" w14:textId="5BEA7EB7" w:rsidR="00480427" w:rsidRPr="00480427" w:rsidRDefault="00480427" w:rsidP="00480427">
            <w:pPr>
              <w:autoSpaceDE w:val="0"/>
              <w:autoSpaceDN w:val="0"/>
              <w:jc w:val="both"/>
              <w:rPr>
                <w:rFonts w:ascii="Times New Roman" w:hAnsi="Times New Roman"/>
                <w:color w:val="000000"/>
                <w:sz w:val="22"/>
              </w:rPr>
            </w:pPr>
            <w:r w:rsidRPr="00480427">
              <w:rPr>
                <w:rFonts w:ascii="Times New Roman" w:hAnsi="Times New Roman"/>
                <w:color w:val="000000"/>
                <w:sz w:val="22"/>
              </w:rPr>
              <w:t xml:space="preserve">Vērtēšanas vadlīnijās 1.20. vērtēšanas kritērijs (16.-17.lpp) nosaka, ka „Visiem projektiem, kuros finanšu instrumenta atbalsta intensitāte pārsniedz 80% vai finanšu instrumenta finansējums pārsniedz 1 miljonu euro ir jāpārliecinās par saimnieciskās darbībās veikšanu </w:t>
            </w:r>
            <w:proofErr w:type="gramStart"/>
            <w:r w:rsidRPr="00480427">
              <w:rPr>
                <w:rFonts w:ascii="Times New Roman" w:hAnsi="Times New Roman"/>
                <w:color w:val="000000"/>
                <w:sz w:val="22"/>
              </w:rPr>
              <w:t>un</w:t>
            </w:r>
            <w:proofErr w:type="gramEnd"/>
            <w:r w:rsidRPr="00480427">
              <w:rPr>
                <w:rFonts w:ascii="Times New Roman" w:hAnsi="Times New Roman"/>
                <w:color w:val="000000"/>
                <w:sz w:val="22"/>
              </w:rPr>
              <w:t xml:space="preserve"> ja nav norādīts un apliecināts, ka neveic saimniecisko darbību, tad jāpārbauda aprēķins par attiecināmajām izmaksām un pamatdarbības peļņu no ieguldījuma. Pārbauda ar projekta iesnieguma veidlapas 2.5.sadaļā norādīto informāciju par saimniecisko darbību.”</w:t>
            </w:r>
          </w:p>
          <w:p w14:paraId="0D4C0F06" w14:textId="12E0FA2E" w:rsidR="008F5942" w:rsidRPr="008F5942" w:rsidRDefault="00480427" w:rsidP="00480427">
            <w:pPr>
              <w:autoSpaceDE w:val="0"/>
              <w:autoSpaceDN w:val="0"/>
              <w:jc w:val="both"/>
              <w:rPr>
                <w:rFonts w:ascii="Times New Roman" w:hAnsi="Times New Roman"/>
                <w:color w:val="000000"/>
                <w:sz w:val="22"/>
              </w:rPr>
            </w:pPr>
            <w:r w:rsidRPr="00480427">
              <w:rPr>
                <w:rFonts w:ascii="Times New Roman" w:hAnsi="Times New Roman"/>
                <w:color w:val="000000"/>
                <w:sz w:val="22"/>
              </w:rPr>
              <w:t>Projekta iesnieguma veidlapas 2.5.sadaļā tiek norādīta informācija par projekta aktivitāšu īstenošanai plānotajiem iepirkumiem. Vai Vērtēšanas vadlīnijās ir nekorekta atsauce uz projekta iesnieguma veidlapu, un domāta 2.6.sadaļa? 2.6.sadaļa nav attiecināma, ja projektā plānota jaunbūve. Lūdzam skaidrot, kur un kādā formā, ja plānota jaunbūve, projekta iesniedzējs var norādīt apliecinājumu, ka tas neveic saimniecisko darbību?</w:t>
            </w:r>
          </w:p>
        </w:tc>
        <w:tc>
          <w:tcPr>
            <w:tcW w:w="7227" w:type="dxa"/>
          </w:tcPr>
          <w:p w14:paraId="39E92349" w14:textId="071854E9" w:rsidR="00480427" w:rsidRPr="008F5942" w:rsidRDefault="00480427" w:rsidP="00480427">
            <w:pPr>
              <w:jc w:val="both"/>
              <w:rPr>
                <w:rFonts w:ascii="Times New Roman" w:hAnsi="Times New Roman"/>
                <w:sz w:val="22"/>
              </w:rPr>
            </w:pPr>
            <w:r>
              <w:rPr>
                <w:rFonts w:ascii="Times New Roman" w:hAnsi="Times New Roman"/>
                <w:sz w:val="22"/>
              </w:rPr>
              <w:t>J</w:t>
            </w:r>
            <w:r w:rsidRPr="00480427">
              <w:rPr>
                <w:rFonts w:ascii="Times New Roman" w:hAnsi="Times New Roman"/>
                <w:sz w:val="22"/>
              </w:rPr>
              <w:t xml:space="preserve">a </w:t>
            </w:r>
            <w:r>
              <w:rPr>
                <w:rFonts w:ascii="Times New Roman" w:hAnsi="Times New Roman"/>
                <w:sz w:val="22"/>
              </w:rPr>
              <w:t xml:space="preserve">projektā ir </w:t>
            </w:r>
            <w:r w:rsidRPr="00480427">
              <w:rPr>
                <w:rFonts w:ascii="Times New Roman" w:hAnsi="Times New Roman"/>
                <w:sz w:val="22"/>
              </w:rPr>
              <w:t xml:space="preserve">plānota jaunbūve, projekta iesniedzējs var </w:t>
            </w:r>
            <w:r>
              <w:rPr>
                <w:rFonts w:ascii="Times New Roman" w:hAnsi="Times New Roman"/>
                <w:sz w:val="22"/>
              </w:rPr>
              <w:t xml:space="preserve">brīvā formā norādīt (ieteikums projekta iesnieguma veidlapas </w:t>
            </w:r>
            <w:r w:rsidR="007152E1">
              <w:rPr>
                <w:rFonts w:ascii="Times New Roman" w:hAnsi="Times New Roman"/>
                <w:sz w:val="22"/>
              </w:rPr>
              <w:t>2.3</w:t>
            </w:r>
            <w:r>
              <w:rPr>
                <w:rFonts w:ascii="Times New Roman" w:hAnsi="Times New Roman"/>
                <w:sz w:val="22"/>
              </w:rPr>
              <w:t>.</w:t>
            </w:r>
            <w:r w:rsidR="007152E1">
              <w:rPr>
                <w:rFonts w:ascii="Times New Roman" w:hAnsi="Times New Roman"/>
                <w:sz w:val="22"/>
              </w:rPr>
              <w:t xml:space="preserve"> vai 2.4. </w:t>
            </w:r>
            <w:r>
              <w:rPr>
                <w:rFonts w:ascii="Times New Roman" w:hAnsi="Times New Roman"/>
                <w:sz w:val="22"/>
              </w:rPr>
              <w:t>sadaļā), ka</w:t>
            </w:r>
            <w:r w:rsidRPr="00480427">
              <w:rPr>
                <w:rFonts w:ascii="Times New Roman" w:hAnsi="Times New Roman"/>
                <w:sz w:val="22"/>
              </w:rPr>
              <w:t xml:space="preserve"> tas </w:t>
            </w:r>
            <w:r w:rsidRPr="00480427">
              <w:rPr>
                <w:rFonts w:ascii="Times New Roman" w:hAnsi="Times New Roman"/>
                <w:b/>
                <w:sz w:val="22"/>
              </w:rPr>
              <w:t>neveiks</w:t>
            </w:r>
            <w:r w:rsidRPr="00480427">
              <w:rPr>
                <w:rFonts w:ascii="Times New Roman" w:hAnsi="Times New Roman"/>
                <w:sz w:val="22"/>
              </w:rPr>
              <w:t xml:space="preserve"> saimniecisko darbību</w:t>
            </w:r>
            <w:r>
              <w:rPr>
                <w:rFonts w:ascii="Times New Roman" w:hAnsi="Times New Roman"/>
                <w:sz w:val="22"/>
              </w:rPr>
              <w:t xml:space="preserve"> un visa ēkas platība tiks 100% izmantota kultūras mērķiem.</w:t>
            </w:r>
          </w:p>
        </w:tc>
      </w:tr>
      <w:tr w:rsidR="005A22DC" w:rsidRPr="005A22DC" w14:paraId="3FDA608A" w14:textId="77777777" w:rsidTr="00F6138F">
        <w:trPr>
          <w:cantSplit/>
        </w:trPr>
        <w:tc>
          <w:tcPr>
            <w:tcW w:w="645" w:type="dxa"/>
          </w:tcPr>
          <w:p w14:paraId="5713F188" w14:textId="6B2EA9F1" w:rsidR="005A22DC" w:rsidRPr="005A22DC" w:rsidRDefault="005A22DC" w:rsidP="00AB59BD">
            <w:pPr>
              <w:jc w:val="center"/>
              <w:rPr>
                <w:rFonts w:ascii="Times New Roman" w:hAnsi="Times New Roman"/>
                <w:sz w:val="22"/>
              </w:rPr>
            </w:pPr>
            <w:r w:rsidRPr="005A22DC">
              <w:rPr>
                <w:rFonts w:ascii="Times New Roman" w:hAnsi="Times New Roman"/>
                <w:sz w:val="22"/>
              </w:rPr>
              <w:t>20.</w:t>
            </w:r>
          </w:p>
        </w:tc>
        <w:tc>
          <w:tcPr>
            <w:tcW w:w="6754" w:type="dxa"/>
          </w:tcPr>
          <w:p w14:paraId="3325DEBA" w14:textId="502F7DDB" w:rsidR="005A22DC" w:rsidRPr="005A22DC" w:rsidRDefault="005A22DC" w:rsidP="00480427">
            <w:pPr>
              <w:autoSpaceDE w:val="0"/>
              <w:autoSpaceDN w:val="0"/>
              <w:jc w:val="both"/>
              <w:rPr>
                <w:rFonts w:ascii="Times New Roman" w:hAnsi="Times New Roman"/>
                <w:color w:val="000000"/>
                <w:sz w:val="22"/>
              </w:rPr>
            </w:pPr>
            <w:r w:rsidRPr="005A22DC">
              <w:rPr>
                <w:rFonts w:ascii="Times New Roman" w:hAnsi="Times New Roman"/>
                <w:color w:val="000000"/>
                <w:sz w:val="22"/>
              </w:rPr>
              <w:t xml:space="preserve">Lūgums precizēt Emisijas kvotu izsolīšanas instrumenta finansēto projektu atklāta konkursa "Siltumnīcefekta gāzu emisiju samazināšana – zema enerģijas patēriņa ēkas" saistībā ar nolikuma punktu – projekta iesniedzējs var būt LR pašvaldība vai tās iestāde, vai valsts tiešās pārvaldes iestāde – </w:t>
            </w:r>
            <w:proofErr w:type="gramStart"/>
            <w:r w:rsidRPr="005A22DC">
              <w:rPr>
                <w:rFonts w:ascii="Times New Roman" w:hAnsi="Times New Roman"/>
                <w:color w:val="000000"/>
                <w:sz w:val="22"/>
              </w:rPr>
              <w:t>radušos jautājumu, vai publiskas atvasinātas personas statusā esošais Pārtikas drošības, dzīvnieku veselības un vides zinātniskais institūts BIOR kvalificējas šim konkursam?</w:t>
            </w:r>
            <w:proofErr w:type="gramEnd"/>
          </w:p>
        </w:tc>
        <w:tc>
          <w:tcPr>
            <w:tcW w:w="7227" w:type="dxa"/>
          </w:tcPr>
          <w:p w14:paraId="4EDE43C3" w14:textId="5D51FAD2" w:rsidR="005A22DC" w:rsidRPr="005A22DC" w:rsidRDefault="005A22DC" w:rsidP="005A22DC">
            <w:pPr>
              <w:jc w:val="both"/>
              <w:rPr>
                <w:rFonts w:ascii="Times New Roman" w:hAnsi="Times New Roman"/>
                <w:sz w:val="22"/>
              </w:rPr>
            </w:pPr>
            <w:r w:rsidRPr="005A22DC">
              <w:rPr>
                <w:rFonts w:ascii="Times New Roman" w:hAnsi="Times New Roman"/>
                <w:sz w:val="22"/>
              </w:rPr>
              <w:t xml:space="preserve">Atvasinātas publiskas personas </w:t>
            </w:r>
            <w:r w:rsidRPr="005A22DC">
              <w:rPr>
                <w:rFonts w:ascii="Times New Roman" w:hAnsi="Times New Roman"/>
                <w:b/>
                <w:sz w:val="22"/>
              </w:rPr>
              <w:t>nevar pretendēt</w:t>
            </w:r>
            <w:r w:rsidRPr="005A22DC">
              <w:rPr>
                <w:rFonts w:ascii="Times New Roman" w:hAnsi="Times New Roman"/>
                <w:sz w:val="22"/>
              </w:rPr>
              <w:t xml:space="preserve"> uz finansējumu</w:t>
            </w:r>
            <w:r>
              <w:rPr>
                <w:rFonts w:ascii="Times New Roman" w:hAnsi="Times New Roman"/>
                <w:sz w:val="22"/>
              </w:rPr>
              <w:t xml:space="preserve"> </w:t>
            </w:r>
            <w:r w:rsidRPr="005A22DC">
              <w:rPr>
                <w:rFonts w:ascii="Times New Roman" w:hAnsi="Times New Roman"/>
                <w:sz w:val="22"/>
              </w:rPr>
              <w:t>MK noteikum</w:t>
            </w:r>
            <w:r>
              <w:rPr>
                <w:rFonts w:ascii="Times New Roman" w:hAnsi="Times New Roman"/>
                <w:sz w:val="22"/>
              </w:rPr>
              <w:t>u</w:t>
            </w:r>
            <w:r w:rsidRPr="005A22DC">
              <w:rPr>
                <w:rFonts w:ascii="Times New Roman" w:hAnsi="Times New Roman"/>
                <w:sz w:val="22"/>
              </w:rPr>
              <w:t xml:space="preserve"> Nr.69</w:t>
            </w:r>
            <w:r>
              <w:rPr>
                <w:rFonts w:ascii="Times New Roman" w:hAnsi="Times New Roman"/>
                <w:sz w:val="22"/>
              </w:rPr>
              <w:t xml:space="preserve"> ietvaros</w:t>
            </w:r>
            <w:r w:rsidRPr="005A22DC">
              <w:rPr>
                <w:rFonts w:ascii="Times New Roman" w:hAnsi="Times New Roman"/>
                <w:sz w:val="22"/>
              </w:rPr>
              <w:t>.</w:t>
            </w:r>
          </w:p>
        </w:tc>
      </w:tr>
      <w:tr w:rsidR="005A22DC" w:rsidRPr="005A22DC" w14:paraId="6CFF220F" w14:textId="77777777" w:rsidTr="00F6138F">
        <w:trPr>
          <w:cantSplit/>
        </w:trPr>
        <w:tc>
          <w:tcPr>
            <w:tcW w:w="645" w:type="dxa"/>
          </w:tcPr>
          <w:p w14:paraId="5642F4BC" w14:textId="783A709E" w:rsidR="005A22DC" w:rsidRPr="005A22DC" w:rsidRDefault="005A22DC" w:rsidP="00AB59BD">
            <w:pPr>
              <w:jc w:val="center"/>
              <w:rPr>
                <w:rFonts w:ascii="Times New Roman" w:hAnsi="Times New Roman"/>
                <w:sz w:val="22"/>
              </w:rPr>
            </w:pPr>
            <w:r w:rsidRPr="005A22DC">
              <w:rPr>
                <w:rFonts w:ascii="Times New Roman" w:hAnsi="Times New Roman"/>
                <w:sz w:val="22"/>
              </w:rPr>
              <w:t>21.</w:t>
            </w:r>
          </w:p>
        </w:tc>
        <w:tc>
          <w:tcPr>
            <w:tcW w:w="6754" w:type="dxa"/>
          </w:tcPr>
          <w:p w14:paraId="61B3B081" w14:textId="5E6A973D" w:rsidR="005A22DC" w:rsidRPr="005A22DC" w:rsidRDefault="005A22DC" w:rsidP="00480427">
            <w:pPr>
              <w:autoSpaceDE w:val="0"/>
              <w:autoSpaceDN w:val="0"/>
              <w:jc w:val="both"/>
              <w:rPr>
                <w:rFonts w:ascii="Times New Roman" w:hAnsi="Times New Roman"/>
                <w:color w:val="000000"/>
                <w:sz w:val="22"/>
              </w:rPr>
            </w:pPr>
            <w:r w:rsidRPr="005A22DC">
              <w:rPr>
                <w:rFonts w:ascii="Times New Roman" w:hAnsi="Times New Roman"/>
                <w:color w:val="000000"/>
                <w:sz w:val="22"/>
              </w:rPr>
              <w:t xml:space="preserve">Kā jāsaprot MK punkts 17.1.1. ja ēkas izmantošanai ir noteikts funkciju sadalījums, ne mazāk kā 60 % no ēkas platības aizņem skolas, universitātes un zinātniskajai pētniecībai paredzētās funkcijas (kods 1263) un ne mazāk kā 20 % no ēkas platības izmanto </w:t>
            </w:r>
            <w:proofErr w:type="spellStart"/>
            <w:r w:rsidRPr="005A22DC">
              <w:rPr>
                <w:rFonts w:ascii="Times New Roman" w:hAnsi="Times New Roman"/>
                <w:color w:val="000000"/>
                <w:sz w:val="22"/>
              </w:rPr>
              <w:t>plašizklaides</w:t>
            </w:r>
            <w:proofErr w:type="spellEnd"/>
            <w:r w:rsidRPr="005A22DC">
              <w:rPr>
                <w:rFonts w:ascii="Times New Roman" w:hAnsi="Times New Roman"/>
                <w:color w:val="000000"/>
                <w:sz w:val="22"/>
              </w:rPr>
              <w:t xml:space="preserve"> pasākumiem (kods 1261) – vai iestādei ir jāapvieno visi minētie nosacījumi, jeb pietiek izpildīt tikai vienu nosacījuma par zinātniskajai pētniecībai paredzēto funkciju nodalījumu (kods 1263)?</w:t>
            </w:r>
          </w:p>
        </w:tc>
        <w:tc>
          <w:tcPr>
            <w:tcW w:w="7227" w:type="dxa"/>
          </w:tcPr>
          <w:p w14:paraId="45872765" w14:textId="6C8DBA95" w:rsidR="005A22DC" w:rsidRPr="005A22DC" w:rsidRDefault="005A22DC" w:rsidP="00BC7589">
            <w:pPr>
              <w:jc w:val="both"/>
              <w:rPr>
                <w:rFonts w:ascii="Times New Roman" w:hAnsi="Times New Roman"/>
                <w:sz w:val="22"/>
              </w:rPr>
            </w:pPr>
            <w:r>
              <w:rPr>
                <w:rFonts w:ascii="Times New Roman" w:hAnsi="Times New Roman"/>
                <w:sz w:val="22"/>
              </w:rPr>
              <w:t xml:space="preserve">Saskaņā ar </w:t>
            </w:r>
            <w:r w:rsidRPr="005A22DC">
              <w:rPr>
                <w:rFonts w:ascii="Times New Roman" w:hAnsi="Times New Roman"/>
                <w:sz w:val="22"/>
              </w:rPr>
              <w:t>MK noteikum</w:t>
            </w:r>
            <w:r>
              <w:rPr>
                <w:rFonts w:ascii="Times New Roman" w:hAnsi="Times New Roman"/>
                <w:sz w:val="22"/>
              </w:rPr>
              <w:t>u</w:t>
            </w:r>
            <w:r w:rsidRPr="005A22DC">
              <w:rPr>
                <w:rFonts w:ascii="Times New Roman" w:hAnsi="Times New Roman"/>
                <w:sz w:val="22"/>
              </w:rPr>
              <w:t xml:space="preserve"> Nr.69</w:t>
            </w:r>
            <w:r>
              <w:rPr>
                <w:rFonts w:ascii="Times New Roman" w:hAnsi="Times New Roman"/>
                <w:sz w:val="22"/>
              </w:rPr>
              <w:t xml:space="preserve"> 17.1.1 apakšpunktu, l</w:t>
            </w:r>
            <w:r w:rsidRPr="005A22DC">
              <w:rPr>
                <w:rFonts w:ascii="Times New Roman" w:hAnsi="Times New Roman"/>
                <w:sz w:val="22"/>
              </w:rPr>
              <w:t>ai projekta iesniegums varēt</w:t>
            </w:r>
            <w:r w:rsidR="00FA0DA7">
              <w:rPr>
                <w:rFonts w:ascii="Times New Roman" w:hAnsi="Times New Roman"/>
                <w:sz w:val="22"/>
              </w:rPr>
              <w:t>u pretendēt uz finansējumu, ēkā</w:t>
            </w:r>
            <w:r w:rsidRPr="005A22DC">
              <w:rPr>
                <w:rFonts w:ascii="Times New Roman" w:hAnsi="Times New Roman"/>
                <w:sz w:val="22"/>
              </w:rPr>
              <w:t xml:space="preserve"> </w:t>
            </w:r>
            <w:r w:rsidRPr="005A22DC">
              <w:rPr>
                <w:rFonts w:ascii="Times New Roman" w:hAnsi="Times New Roman"/>
                <w:b/>
                <w:sz w:val="22"/>
              </w:rPr>
              <w:t>ir jāizpildās abi</w:t>
            </w:r>
            <w:r w:rsidR="00FA0DA7">
              <w:rPr>
                <w:rFonts w:ascii="Times New Roman" w:hAnsi="Times New Roman"/>
                <w:b/>
                <w:sz w:val="22"/>
              </w:rPr>
              <w:t>em</w:t>
            </w:r>
            <w:r w:rsidRPr="005A22DC">
              <w:rPr>
                <w:rFonts w:ascii="Times New Roman" w:hAnsi="Times New Roman"/>
                <w:b/>
                <w:sz w:val="22"/>
              </w:rPr>
              <w:t xml:space="preserve"> nosacījumi</w:t>
            </w:r>
            <w:r w:rsidR="00FA0DA7">
              <w:rPr>
                <w:rFonts w:ascii="Times New Roman" w:hAnsi="Times New Roman"/>
                <w:b/>
                <w:sz w:val="22"/>
              </w:rPr>
              <w:t>em</w:t>
            </w:r>
            <w:r w:rsidRPr="005A22DC">
              <w:rPr>
                <w:rFonts w:ascii="Times New Roman" w:hAnsi="Times New Roman"/>
                <w:sz w:val="22"/>
              </w:rPr>
              <w:t>.</w:t>
            </w:r>
          </w:p>
        </w:tc>
      </w:tr>
      <w:tr w:rsidR="005A22DC" w:rsidRPr="005A22DC" w14:paraId="44F44CAF" w14:textId="77777777" w:rsidTr="00F6138F">
        <w:trPr>
          <w:cantSplit/>
        </w:trPr>
        <w:tc>
          <w:tcPr>
            <w:tcW w:w="645" w:type="dxa"/>
          </w:tcPr>
          <w:p w14:paraId="12CA8786" w14:textId="74FF5727" w:rsidR="005A22DC" w:rsidRPr="005A22DC" w:rsidRDefault="005A22DC" w:rsidP="00AB59BD">
            <w:pPr>
              <w:jc w:val="center"/>
              <w:rPr>
                <w:rFonts w:ascii="Times New Roman" w:hAnsi="Times New Roman"/>
                <w:sz w:val="22"/>
              </w:rPr>
            </w:pPr>
            <w:r w:rsidRPr="005A22DC">
              <w:rPr>
                <w:rFonts w:ascii="Times New Roman" w:hAnsi="Times New Roman"/>
                <w:sz w:val="22"/>
              </w:rPr>
              <w:t>22</w:t>
            </w:r>
          </w:p>
        </w:tc>
        <w:tc>
          <w:tcPr>
            <w:tcW w:w="6754" w:type="dxa"/>
          </w:tcPr>
          <w:p w14:paraId="7EBDCCB5" w14:textId="1B5B4E23" w:rsidR="005A22DC" w:rsidRPr="005A22DC" w:rsidRDefault="005A22DC" w:rsidP="00480427">
            <w:pPr>
              <w:autoSpaceDE w:val="0"/>
              <w:autoSpaceDN w:val="0"/>
              <w:jc w:val="both"/>
              <w:rPr>
                <w:rFonts w:ascii="Times New Roman" w:hAnsi="Times New Roman"/>
                <w:color w:val="000000"/>
                <w:sz w:val="22"/>
              </w:rPr>
            </w:pPr>
            <w:r w:rsidRPr="005A22DC">
              <w:rPr>
                <w:rFonts w:ascii="Times New Roman" w:hAnsi="Times New Roman"/>
                <w:color w:val="000000"/>
                <w:sz w:val="22"/>
              </w:rPr>
              <w:t>Vai paliek spēkā iesniegšanas termiņš 17.maijs un tas netiks pagarināts?</w:t>
            </w:r>
          </w:p>
        </w:tc>
        <w:tc>
          <w:tcPr>
            <w:tcW w:w="7227" w:type="dxa"/>
          </w:tcPr>
          <w:p w14:paraId="52634253" w14:textId="54560B0B" w:rsidR="005A22DC" w:rsidRPr="005A22DC" w:rsidRDefault="005A22DC" w:rsidP="005A22DC">
            <w:pPr>
              <w:jc w:val="both"/>
              <w:rPr>
                <w:rFonts w:ascii="Times New Roman" w:hAnsi="Times New Roman"/>
                <w:sz w:val="22"/>
              </w:rPr>
            </w:pPr>
            <w:bookmarkStart w:id="0" w:name="_GoBack"/>
            <w:r w:rsidRPr="005A22DC">
              <w:rPr>
                <w:rFonts w:ascii="Times New Roman" w:hAnsi="Times New Roman"/>
                <w:sz w:val="22"/>
              </w:rPr>
              <w:t xml:space="preserve">Projektu iesniegšanas termiņš ir 2016. gada 17. maijs. Klātienē projekta iesniegumus var iesniegt Vides investīciju fondā līdz </w:t>
            </w:r>
            <w:r>
              <w:rPr>
                <w:rFonts w:ascii="Times New Roman" w:hAnsi="Times New Roman"/>
                <w:sz w:val="22"/>
              </w:rPr>
              <w:t>2016. gada 17. maija plkst.</w:t>
            </w:r>
            <w:r w:rsidRPr="005A22DC">
              <w:rPr>
                <w:rFonts w:ascii="Times New Roman" w:hAnsi="Times New Roman"/>
                <w:sz w:val="22"/>
              </w:rPr>
              <w:t xml:space="preserve"> 17:30 vai arī nosūtīt pa pastu </w:t>
            </w:r>
            <w:r w:rsidRPr="005A22DC">
              <w:rPr>
                <w:rFonts w:ascii="Times New Roman" w:hAnsi="Times New Roman"/>
                <w:b/>
                <w:sz w:val="22"/>
              </w:rPr>
              <w:t xml:space="preserve">ierakstītā vēstulē </w:t>
            </w:r>
            <w:r w:rsidRPr="005A22DC">
              <w:rPr>
                <w:rFonts w:ascii="Times New Roman" w:hAnsi="Times New Roman"/>
                <w:sz w:val="22"/>
              </w:rPr>
              <w:t>vai pa e-pastu ar elektronisko</w:t>
            </w:r>
            <w:r w:rsidRPr="005A22DC">
              <w:rPr>
                <w:rFonts w:ascii="Times New Roman" w:hAnsi="Times New Roman"/>
                <w:b/>
                <w:sz w:val="22"/>
              </w:rPr>
              <w:t xml:space="preserve"> parakstu un laika zīmogu (ne vēlāk</w:t>
            </w:r>
            <w:r>
              <w:rPr>
                <w:rFonts w:ascii="Times New Roman" w:hAnsi="Times New Roman"/>
                <w:b/>
                <w:sz w:val="22"/>
              </w:rPr>
              <w:t>u par</w:t>
            </w:r>
            <w:r w:rsidRPr="005A22DC">
              <w:rPr>
                <w:rFonts w:ascii="Times New Roman" w:hAnsi="Times New Roman"/>
                <w:b/>
                <w:sz w:val="22"/>
              </w:rPr>
              <w:t xml:space="preserve"> 2016. gada 17. maija plkst. 23:59)</w:t>
            </w:r>
            <w:r w:rsidRPr="005A22DC">
              <w:rPr>
                <w:rFonts w:ascii="Times New Roman" w:hAnsi="Times New Roman"/>
                <w:sz w:val="22"/>
              </w:rPr>
              <w:t>.</w:t>
            </w:r>
            <w:bookmarkEnd w:id="0"/>
          </w:p>
        </w:tc>
      </w:tr>
    </w:tbl>
    <w:p w14:paraId="22910EFA" w14:textId="3D5D3459" w:rsidR="00A26A07" w:rsidRDefault="00A26A07"/>
    <w:sectPr w:rsidR="00A26A07" w:rsidSect="00AB59BD">
      <w:headerReference w:type="default" r:id="rId12"/>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35D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6F5E2" w14:textId="77777777" w:rsidR="00E224F6" w:rsidRDefault="00E224F6" w:rsidP="00AB59BD">
      <w:r>
        <w:separator/>
      </w:r>
    </w:p>
  </w:endnote>
  <w:endnote w:type="continuationSeparator" w:id="0">
    <w:p w14:paraId="559FE53A" w14:textId="77777777" w:rsidR="00E224F6" w:rsidRDefault="00E224F6"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C0DBA" w14:textId="77777777" w:rsidR="00E224F6" w:rsidRDefault="00E224F6" w:rsidP="00AB59BD">
      <w:r>
        <w:separator/>
      </w:r>
    </w:p>
  </w:footnote>
  <w:footnote w:type="continuationSeparator" w:id="0">
    <w:p w14:paraId="21ACD276" w14:textId="77777777" w:rsidR="00E224F6" w:rsidRDefault="00E224F6" w:rsidP="00AB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972" w14:textId="77777777" w:rsidR="00AB59BD" w:rsidRDefault="00AB59BD" w:rsidP="00AB59BD">
    <w:pPr>
      <w:pStyle w:val="Header"/>
      <w:jc w:val="right"/>
      <w:rPr>
        <w:noProof/>
        <w:lang w:eastAsia="lv-LV"/>
      </w:rPr>
    </w:pPr>
  </w:p>
  <w:p w14:paraId="1E1AB80C" w14:textId="77777777" w:rsidR="00AB49B6" w:rsidRDefault="00AB49B6" w:rsidP="00AB59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C59"/>
    <w:multiLevelType w:val="hybridMultilevel"/>
    <w:tmpl w:val="31ACF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D6696A"/>
    <w:multiLevelType w:val="hybridMultilevel"/>
    <w:tmpl w:val="B97E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BA203A"/>
    <w:multiLevelType w:val="hybridMultilevel"/>
    <w:tmpl w:val="B98E01D6"/>
    <w:lvl w:ilvl="0" w:tplc="4E7652E6">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monds Kašs">
    <w15:presenceInfo w15:providerId="AD" w15:userId="S-1-5-21-1177238915-1417001333-839522115-2311"/>
  </w15:person>
  <w15:person w15:author="Valdis Līkosts">
    <w15:presenceInfo w15:providerId="None" w15:userId="Valdis Līkos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BD"/>
    <w:rsid w:val="000006DB"/>
    <w:rsid w:val="00013D2E"/>
    <w:rsid w:val="00022CA7"/>
    <w:rsid w:val="0002574E"/>
    <w:rsid w:val="00062C79"/>
    <w:rsid w:val="000672E7"/>
    <w:rsid w:val="000940FC"/>
    <w:rsid w:val="00095752"/>
    <w:rsid w:val="000A3CC4"/>
    <w:rsid w:val="000C4154"/>
    <w:rsid w:val="000E06CE"/>
    <w:rsid w:val="000E10F7"/>
    <w:rsid w:val="00172029"/>
    <w:rsid w:val="00182B56"/>
    <w:rsid w:val="001A3142"/>
    <w:rsid w:val="001B3C5D"/>
    <w:rsid w:val="00215868"/>
    <w:rsid w:val="00241FCA"/>
    <w:rsid w:val="00242236"/>
    <w:rsid w:val="00242496"/>
    <w:rsid w:val="0026413C"/>
    <w:rsid w:val="0028039C"/>
    <w:rsid w:val="00280EE3"/>
    <w:rsid w:val="0029147B"/>
    <w:rsid w:val="002A1EC1"/>
    <w:rsid w:val="002D27D0"/>
    <w:rsid w:val="002F22F4"/>
    <w:rsid w:val="002F476E"/>
    <w:rsid w:val="003019E6"/>
    <w:rsid w:val="00351010"/>
    <w:rsid w:val="003874A7"/>
    <w:rsid w:val="00387C70"/>
    <w:rsid w:val="003A040A"/>
    <w:rsid w:val="003B54F6"/>
    <w:rsid w:val="003C5E98"/>
    <w:rsid w:val="003D1BC9"/>
    <w:rsid w:val="003E1BD2"/>
    <w:rsid w:val="003E7F40"/>
    <w:rsid w:val="003F2F54"/>
    <w:rsid w:val="00406B61"/>
    <w:rsid w:val="00422722"/>
    <w:rsid w:val="00480427"/>
    <w:rsid w:val="004B2363"/>
    <w:rsid w:val="004B3EBC"/>
    <w:rsid w:val="004B4E18"/>
    <w:rsid w:val="004C2819"/>
    <w:rsid w:val="00501BFE"/>
    <w:rsid w:val="00527CAE"/>
    <w:rsid w:val="005365ED"/>
    <w:rsid w:val="00564BE4"/>
    <w:rsid w:val="0058692E"/>
    <w:rsid w:val="005A22DC"/>
    <w:rsid w:val="005E336F"/>
    <w:rsid w:val="005F0F45"/>
    <w:rsid w:val="006024EE"/>
    <w:rsid w:val="0060319A"/>
    <w:rsid w:val="00612122"/>
    <w:rsid w:val="006447A1"/>
    <w:rsid w:val="006A2C2B"/>
    <w:rsid w:val="006A350A"/>
    <w:rsid w:val="007152E1"/>
    <w:rsid w:val="00721B5A"/>
    <w:rsid w:val="0072481D"/>
    <w:rsid w:val="007413B1"/>
    <w:rsid w:val="007563C9"/>
    <w:rsid w:val="00775B7A"/>
    <w:rsid w:val="007B520A"/>
    <w:rsid w:val="007D1FFA"/>
    <w:rsid w:val="007F48F7"/>
    <w:rsid w:val="0083486A"/>
    <w:rsid w:val="008A0DAD"/>
    <w:rsid w:val="008C573E"/>
    <w:rsid w:val="008E0C26"/>
    <w:rsid w:val="008F5942"/>
    <w:rsid w:val="00910149"/>
    <w:rsid w:val="0091551B"/>
    <w:rsid w:val="00922DF7"/>
    <w:rsid w:val="009336CB"/>
    <w:rsid w:val="00934EBA"/>
    <w:rsid w:val="00950B5C"/>
    <w:rsid w:val="009B68EE"/>
    <w:rsid w:val="009D38BB"/>
    <w:rsid w:val="009E5BCC"/>
    <w:rsid w:val="009E61BD"/>
    <w:rsid w:val="00A011C0"/>
    <w:rsid w:val="00A11D80"/>
    <w:rsid w:val="00A126AE"/>
    <w:rsid w:val="00A26A07"/>
    <w:rsid w:val="00A34390"/>
    <w:rsid w:val="00A37C54"/>
    <w:rsid w:val="00A40EF6"/>
    <w:rsid w:val="00A67AFA"/>
    <w:rsid w:val="00A72893"/>
    <w:rsid w:val="00A81D9C"/>
    <w:rsid w:val="00A84BA5"/>
    <w:rsid w:val="00AB49B6"/>
    <w:rsid w:val="00AB59BD"/>
    <w:rsid w:val="00AF3075"/>
    <w:rsid w:val="00B21B83"/>
    <w:rsid w:val="00B4338C"/>
    <w:rsid w:val="00B47ADE"/>
    <w:rsid w:val="00B47EFA"/>
    <w:rsid w:val="00B74801"/>
    <w:rsid w:val="00BA2C7A"/>
    <w:rsid w:val="00BA71A3"/>
    <w:rsid w:val="00BC7589"/>
    <w:rsid w:val="00C20964"/>
    <w:rsid w:val="00C55BA8"/>
    <w:rsid w:val="00C57B81"/>
    <w:rsid w:val="00C62017"/>
    <w:rsid w:val="00C8033A"/>
    <w:rsid w:val="00C8661C"/>
    <w:rsid w:val="00C87057"/>
    <w:rsid w:val="00C96432"/>
    <w:rsid w:val="00CB5304"/>
    <w:rsid w:val="00CF4333"/>
    <w:rsid w:val="00D11DC0"/>
    <w:rsid w:val="00D370B9"/>
    <w:rsid w:val="00D606D7"/>
    <w:rsid w:val="00D91EE4"/>
    <w:rsid w:val="00D945C9"/>
    <w:rsid w:val="00DA2AA5"/>
    <w:rsid w:val="00DB54FF"/>
    <w:rsid w:val="00DD3A2F"/>
    <w:rsid w:val="00DF7547"/>
    <w:rsid w:val="00E224F6"/>
    <w:rsid w:val="00E61AF3"/>
    <w:rsid w:val="00E63655"/>
    <w:rsid w:val="00E84DA3"/>
    <w:rsid w:val="00E85F5C"/>
    <w:rsid w:val="00EC092F"/>
    <w:rsid w:val="00EE48E7"/>
    <w:rsid w:val="00F21ECA"/>
    <w:rsid w:val="00F32EA2"/>
    <w:rsid w:val="00F50428"/>
    <w:rsid w:val="00F6138F"/>
    <w:rsid w:val="00F66883"/>
    <w:rsid w:val="00F83C0D"/>
    <w:rsid w:val="00F9656B"/>
    <w:rsid w:val="00FA0DA7"/>
    <w:rsid w:val="00FB2654"/>
    <w:rsid w:val="00FD4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9B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paragraph" w:styleId="Title">
    <w:name w:val="Title"/>
    <w:basedOn w:val="Normal"/>
    <w:next w:val="Normal"/>
    <w:link w:val="TitleChar"/>
    <w:uiPriority w:val="10"/>
    <w:qFormat/>
    <w:rsid w:val="00C57B81"/>
    <w:rPr>
      <w:sz w:val="20"/>
      <w:lang w:eastAsia="lv-LV"/>
    </w:rPr>
  </w:style>
  <w:style w:type="character" w:customStyle="1" w:styleId="TitleChar">
    <w:name w:val="Title Char"/>
    <w:basedOn w:val="DefaultParagraphFont"/>
    <w:link w:val="Title"/>
    <w:uiPriority w:val="10"/>
    <w:rsid w:val="00C57B81"/>
    <w:rPr>
      <w:rFonts w:eastAsia="Times New Roman"/>
      <w:sz w:val="20"/>
      <w:szCs w:val="22"/>
      <w:lang w:eastAsia="lv-LV"/>
    </w:rPr>
  </w:style>
  <w:style w:type="paragraph" w:styleId="Subtitle">
    <w:name w:val="Subtitle"/>
    <w:basedOn w:val="Normal"/>
    <w:next w:val="Normal"/>
    <w:link w:val="SubtitleChar"/>
    <w:uiPriority w:val="11"/>
    <w:qFormat/>
    <w:rsid w:val="00C57B8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57B81"/>
    <w:rPr>
      <w:rFonts w:eastAsiaTheme="majorEastAsia" w:cstheme="majorBidi"/>
      <w:i/>
      <w:iCs/>
      <w:color w:val="4F81BD" w:themeColor="accent1"/>
      <w:spacing w:val="15"/>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character" w:customStyle="1" w:styleId="c10">
    <w:name w:val="c10"/>
    <w:basedOn w:val="DefaultParagraphFont"/>
    <w:rsid w:val="00C80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9B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paragraph" w:styleId="Title">
    <w:name w:val="Title"/>
    <w:basedOn w:val="Normal"/>
    <w:next w:val="Normal"/>
    <w:link w:val="TitleChar"/>
    <w:uiPriority w:val="10"/>
    <w:qFormat/>
    <w:rsid w:val="00C57B81"/>
    <w:rPr>
      <w:sz w:val="20"/>
      <w:lang w:eastAsia="lv-LV"/>
    </w:rPr>
  </w:style>
  <w:style w:type="character" w:customStyle="1" w:styleId="TitleChar">
    <w:name w:val="Title Char"/>
    <w:basedOn w:val="DefaultParagraphFont"/>
    <w:link w:val="Title"/>
    <w:uiPriority w:val="10"/>
    <w:rsid w:val="00C57B81"/>
    <w:rPr>
      <w:rFonts w:eastAsia="Times New Roman"/>
      <w:sz w:val="20"/>
      <w:szCs w:val="22"/>
      <w:lang w:eastAsia="lv-LV"/>
    </w:rPr>
  </w:style>
  <w:style w:type="paragraph" w:styleId="Subtitle">
    <w:name w:val="Subtitle"/>
    <w:basedOn w:val="Normal"/>
    <w:next w:val="Normal"/>
    <w:link w:val="SubtitleChar"/>
    <w:uiPriority w:val="11"/>
    <w:qFormat/>
    <w:rsid w:val="00C57B8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57B81"/>
    <w:rPr>
      <w:rFonts w:eastAsiaTheme="majorEastAsia" w:cstheme="majorBidi"/>
      <w:i/>
      <w:iCs/>
      <w:color w:val="4F81BD" w:themeColor="accent1"/>
      <w:spacing w:val="15"/>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character" w:customStyle="1" w:styleId="c10">
    <w:name w:val="c10"/>
    <w:basedOn w:val="DefaultParagraphFont"/>
    <w:rsid w:val="00C80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6794">
      <w:bodyDiv w:val="1"/>
      <w:marLeft w:val="0"/>
      <w:marRight w:val="0"/>
      <w:marTop w:val="0"/>
      <w:marBottom w:val="0"/>
      <w:divBdr>
        <w:top w:val="none" w:sz="0" w:space="0" w:color="auto"/>
        <w:left w:val="none" w:sz="0" w:space="0" w:color="auto"/>
        <w:bottom w:val="none" w:sz="0" w:space="0" w:color="auto"/>
        <w:right w:val="none" w:sz="0" w:space="0" w:color="auto"/>
      </w:divBdr>
    </w:div>
    <w:div w:id="1575161683">
      <w:bodyDiv w:val="1"/>
      <w:marLeft w:val="0"/>
      <w:marRight w:val="0"/>
      <w:marTop w:val="0"/>
      <w:marBottom w:val="0"/>
      <w:divBdr>
        <w:top w:val="none" w:sz="0" w:space="0" w:color="auto"/>
        <w:left w:val="none" w:sz="0" w:space="0" w:color="auto"/>
        <w:bottom w:val="none" w:sz="0" w:space="0" w:color="auto"/>
        <w:right w:val="none" w:sz="0" w:space="0" w:color="auto"/>
      </w:divBdr>
    </w:div>
    <w:div w:id="16975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wwwraksti/2016/030/69/P4.DOCX"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is.gov.lv" TargetMode="External"/><Relationship Id="rId4" Type="http://schemas.microsoft.com/office/2007/relationships/stylesWithEffects" Target="stylesWithEffects.xml"/><Relationship Id="rId9" Type="http://schemas.openxmlformats.org/officeDocument/2006/relationships/hyperlink" Target="http://likumi.lv/ta/id/2802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15B0-4AA4-4834-8877-191B12B3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16454</Words>
  <Characters>9380</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3</cp:revision>
  <dcterms:created xsi:type="dcterms:W3CDTF">2016-05-16T13:20:00Z</dcterms:created>
  <dcterms:modified xsi:type="dcterms:W3CDTF">2016-05-16T13:21:00Z</dcterms:modified>
</cp:coreProperties>
</file>