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7"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569"/>
        <w:gridCol w:w="9"/>
        <w:gridCol w:w="7217"/>
        <w:gridCol w:w="6768"/>
        <w:gridCol w:w="9"/>
      </w:tblGrid>
      <w:tr w:rsidR="00CB0A11" w:rsidRPr="005946CB" w14:paraId="7639A408" w14:textId="77777777" w:rsidTr="005946CB">
        <w:trPr>
          <w:gridBefore w:val="1"/>
          <w:gridAfter w:val="1"/>
          <w:wBefore w:w="3" w:type="pct"/>
          <w:wAfter w:w="3" w:type="pct"/>
          <w:trHeight w:val="113"/>
        </w:trPr>
        <w:tc>
          <w:tcPr>
            <w:tcW w:w="198" w:type="pct"/>
            <w:gridSpan w:val="2"/>
            <w:shd w:val="clear" w:color="auto" w:fill="C2D69B" w:themeFill="accent3" w:themeFillTint="99"/>
            <w:vAlign w:val="center"/>
          </w:tcPr>
          <w:p w14:paraId="225EEF44" w14:textId="77777777" w:rsidR="00A97C3C" w:rsidRPr="005946CB" w:rsidRDefault="00A97C3C" w:rsidP="00E23716">
            <w:pPr>
              <w:jc w:val="center"/>
              <w:rPr>
                <w:b/>
                <w:sz w:val="22"/>
                <w:szCs w:val="22"/>
              </w:rPr>
            </w:pPr>
            <w:r w:rsidRPr="005946CB">
              <w:rPr>
                <w:b/>
                <w:sz w:val="22"/>
                <w:szCs w:val="22"/>
              </w:rPr>
              <w:t>Nr.</w:t>
            </w:r>
          </w:p>
          <w:p w14:paraId="2F0DD082" w14:textId="77777777" w:rsidR="00A97C3C" w:rsidRPr="005946CB" w:rsidRDefault="00A97C3C" w:rsidP="00E23716">
            <w:pPr>
              <w:jc w:val="center"/>
              <w:rPr>
                <w:b/>
                <w:sz w:val="22"/>
                <w:szCs w:val="22"/>
              </w:rPr>
            </w:pPr>
            <w:r w:rsidRPr="005946CB">
              <w:rPr>
                <w:b/>
                <w:sz w:val="22"/>
                <w:szCs w:val="22"/>
              </w:rPr>
              <w:t>p.k.</w:t>
            </w:r>
          </w:p>
        </w:tc>
        <w:tc>
          <w:tcPr>
            <w:tcW w:w="2475" w:type="pct"/>
            <w:shd w:val="clear" w:color="auto" w:fill="C2D69B" w:themeFill="accent3" w:themeFillTint="99"/>
            <w:vAlign w:val="center"/>
          </w:tcPr>
          <w:p w14:paraId="4004C5AC" w14:textId="049497A5" w:rsidR="00A97C3C" w:rsidRPr="005946CB" w:rsidRDefault="00491BD6" w:rsidP="00E23716">
            <w:pPr>
              <w:jc w:val="center"/>
              <w:rPr>
                <w:b/>
                <w:sz w:val="22"/>
                <w:szCs w:val="22"/>
              </w:rPr>
            </w:pPr>
            <w:r w:rsidRPr="005946CB">
              <w:rPr>
                <w:b/>
                <w:sz w:val="22"/>
                <w:szCs w:val="22"/>
              </w:rPr>
              <w:t>Attiecināmās izmaksas (izmaksu pozīcijas)</w:t>
            </w:r>
          </w:p>
        </w:tc>
        <w:tc>
          <w:tcPr>
            <w:tcW w:w="2321" w:type="pct"/>
            <w:shd w:val="clear" w:color="auto" w:fill="C2D69B" w:themeFill="accent3" w:themeFillTint="99"/>
            <w:vAlign w:val="center"/>
          </w:tcPr>
          <w:p w14:paraId="1220250A" w14:textId="0A777AF8" w:rsidR="00A97C3C" w:rsidRPr="005946CB" w:rsidRDefault="00491BD6" w:rsidP="00E23716">
            <w:pPr>
              <w:jc w:val="center"/>
              <w:rPr>
                <w:b/>
                <w:sz w:val="22"/>
                <w:szCs w:val="22"/>
              </w:rPr>
            </w:pPr>
            <w:r w:rsidRPr="005946CB">
              <w:rPr>
                <w:b/>
                <w:sz w:val="22"/>
                <w:szCs w:val="22"/>
              </w:rPr>
              <w:t>Vides investīciju fondā iesniedzamie dokumenti</w:t>
            </w:r>
            <w:r w:rsidRPr="005946CB">
              <w:rPr>
                <w:b/>
                <w:sz w:val="22"/>
                <w:szCs w:val="22"/>
                <w:vertAlign w:val="superscript"/>
              </w:rPr>
              <w:t>1</w:t>
            </w:r>
          </w:p>
        </w:tc>
      </w:tr>
      <w:tr w:rsidR="003B4245" w:rsidRPr="005946CB" w14:paraId="386CC3C5" w14:textId="77777777" w:rsidTr="005946CB">
        <w:trPr>
          <w:gridBefore w:val="1"/>
          <w:gridAfter w:val="1"/>
          <w:wBefore w:w="3" w:type="pct"/>
          <w:wAfter w:w="3" w:type="pct"/>
          <w:trHeight w:val="113"/>
        </w:trPr>
        <w:tc>
          <w:tcPr>
            <w:tcW w:w="198" w:type="pct"/>
            <w:gridSpan w:val="2"/>
            <w:shd w:val="clear" w:color="auto" w:fill="FFFFFF"/>
          </w:tcPr>
          <w:p w14:paraId="41111F33" w14:textId="6531841B" w:rsidR="003B4245" w:rsidRPr="005946CB" w:rsidRDefault="003B4245" w:rsidP="006E2C07">
            <w:pPr>
              <w:jc w:val="center"/>
              <w:rPr>
                <w:sz w:val="22"/>
                <w:szCs w:val="22"/>
              </w:rPr>
            </w:pPr>
            <w:r w:rsidRPr="005946CB">
              <w:rPr>
                <w:sz w:val="22"/>
                <w:szCs w:val="22"/>
              </w:rPr>
              <w:t>1.</w:t>
            </w:r>
          </w:p>
        </w:tc>
        <w:tc>
          <w:tcPr>
            <w:tcW w:w="2475" w:type="pct"/>
          </w:tcPr>
          <w:p w14:paraId="0670772C" w14:textId="1E79B9EC" w:rsidR="004323CA" w:rsidRPr="005946CB" w:rsidRDefault="00491BD6" w:rsidP="004323CA">
            <w:pPr>
              <w:numPr>
                <w:ilvl w:val="0"/>
                <w:numId w:val="16"/>
              </w:numPr>
              <w:jc w:val="both"/>
              <w:rPr>
                <w:sz w:val="22"/>
                <w:szCs w:val="22"/>
              </w:rPr>
            </w:pPr>
            <w:r w:rsidRPr="005946CB">
              <w:rPr>
                <w:sz w:val="22"/>
                <w:szCs w:val="22"/>
              </w:rPr>
              <w:t>g</w:t>
            </w:r>
            <w:r w:rsidRPr="005946CB">
              <w:rPr>
                <w:sz w:val="22"/>
                <w:szCs w:val="22"/>
              </w:rPr>
              <w:t>aismekļu iegāde</w:t>
            </w:r>
          </w:p>
          <w:p w14:paraId="74B83996" w14:textId="4100F74D" w:rsidR="00491BD6" w:rsidRPr="005946CB" w:rsidRDefault="00491BD6" w:rsidP="004323CA">
            <w:pPr>
              <w:numPr>
                <w:ilvl w:val="0"/>
                <w:numId w:val="16"/>
              </w:numPr>
              <w:jc w:val="both"/>
              <w:rPr>
                <w:sz w:val="22"/>
                <w:szCs w:val="22"/>
              </w:rPr>
            </w:pPr>
            <w:r w:rsidRPr="005946CB">
              <w:rPr>
                <w:sz w:val="22"/>
                <w:szCs w:val="22"/>
              </w:rPr>
              <w:t>p</w:t>
            </w:r>
            <w:r w:rsidRPr="005946CB">
              <w:rPr>
                <w:sz w:val="22"/>
                <w:szCs w:val="22"/>
              </w:rPr>
              <w:t>apildu aprīkojums</w:t>
            </w:r>
            <w:r w:rsidR="005946CB" w:rsidRPr="005946CB">
              <w:rPr>
                <w:sz w:val="22"/>
                <w:szCs w:val="22"/>
              </w:rPr>
              <w:t xml:space="preserve"> (</w:t>
            </w:r>
            <w:r w:rsidR="005946CB" w:rsidRPr="005946CB">
              <w:rPr>
                <w:i/>
                <w:iCs/>
                <w:sz w:val="22"/>
                <w:szCs w:val="22"/>
              </w:rPr>
              <w:t>n</w:t>
            </w:r>
            <w:r w:rsidR="005946CB" w:rsidRPr="005946CB">
              <w:rPr>
                <w:i/>
                <w:iCs/>
                <w:sz w:val="22"/>
                <w:szCs w:val="22"/>
              </w:rPr>
              <w:t>e vairāk kā 25 % no kopējām attiecināmām izmaksām</w:t>
            </w:r>
            <w:r w:rsidR="005946CB" w:rsidRPr="005946CB">
              <w:rPr>
                <w:sz w:val="22"/>
                <w:szCs w:val="22"/>
              </w:rPr>
              <w:t>):</w:t>
            </w:r>
          </w:p>
          <w:p w14:paraId="3E21663B" w14:textId="3BB4B467" w:rsidR="006E2C07" w:rsidRPr="005946CB" w:rsidRDefault="00491BD6" w:rsidP="00491BD6">
            <w:pPr>
              <w:numPr>
                <w:ilvl w:val="1"/>
                <w:numId w:val="16"/>
              </w:numPr>
              <w:jc w:val="both"/>
              <w:rPr>
                <w:sz w:val="22"/>
                <w:szCs w:val="22"/>
              </w:rPr>
            </w:pPr>
            <w:r w:rsidRPr="005946CB">
              <w:rPr>
                <w:sz w:val="22"/>
                <w:szCs w:val="22"/>
              </w:rPr>
              <w:t>apgaismojuma līmeņa regulēšanas ierīču iegāde</w:t>
            </w:r>
          </w:p>
          <w:p w14:paraId="0BD51514" w14:textId="206E1F55" w:rsidR="00491BD6" w:rsidRPr="005946CB" w:rsidRDefault="00491BD6" w:rsidP="00491BD6">
            <w:pPr>
              <w:numPr>
                <w:ilvl w:val="1"/>
                <w:numId w:val="16"/>
              </w:numPr>
              <w:jc w:val="both"/>
              <w:rPr>
                <w:sz w:val="22"/>
                <w:szCs w:val="22"/>
              </w:rPr>
            </w:pPr>
            <w:r w:rsidRPr="005946CB">
              <w:rPr>
                <w:sz w:val="22"/>
                <w:szCs w:val="22"/>
              </w:rPr>
              <w:t>aizsardzības automātikas ierīču iegāde</w:t>
            </w:r>
          </w:p>
          <w:p w14:paraId="20141D7E" w14:textId="7AEE3B84" w:rsidR="00491BD6" w:rsidRPr="005946CB" w:rsidRDefault="00491BD6" w:rsidP="00491BD6">
            <w:pPr>
              <w:numPr>
                <w:ilvl w:val="1"/>
                <w:numId w:val="16"/>
              </w:numPr>
              <w:jc w:val="both"/>
              <w:rPr>
                <w:sz w:val="22"/>
                <w:szCs w:val="22"/>
              </w:rPr>
            </w:pPr>
            <w:r w:rsidRPr="005946CB">
              <w:rPr>
                <w:sz w:val="22"/>
                <w:szCs w:val="22"/>
              </w:rPr>
              <w:t>pievadu iegāde</w:t>
            </w:r>
          </w:p>
          <w:p w14:paraId="16031396" w14:textId="62B5FE6B" w:rsidR="00491BD6" w:rsidRPr="005946CB" w:rsidRDefault="00491BD6" w:rsidP="00963063">
            <w:pPr>
              <w:numPr>
                <w:ilvl w:val="0"/>
                <w:numId w:val="16"/>
              </w:numPr>
              <w:jc w:val="both"/>
              <w:rPr>
                <w:sz w:val="22"/>
                <w:szCs w:val="22"/>
              </w:rPr>
            </w:pPr>
            <w:r w:rsidRPr="005946CB">
              <w:rPr>
                <w:sz w:val="22"/>
                <w:szCs w:val="22"/>
              </w:rPr>
              <w:t>d</w:t>
            </w:r>
            <w:r w:rsidRPr="005946CB">
              <w:rPr>
                <w:sz w:val="22"/>
                <w:szCs w:val="22"/>
              </w:rPr>
              <w:t>emontāžas darbu izmaksas</w:t>
            </w:r>
            <w:r w:rsidRPr="005946CB">
              <w:rPr>
                <w:sz w:val="22"/>
                <w:szCs w:val="22"/>
              </w:rPr>
              <w:t xml:space="preserve"> (</w:t>
            </w:r>
            <w:r w:rsidRPr="005946CB">
              <w:rPr>
                <w:i/>
                <w:iCs/>
                <w:sz w:val="22"/>
                <w:szCs w:val="22"/>
              </w:rPr>
              <w:t>n</w:t>
            </w:r>
            <w:r w:rsidRPr="005946CB">
              <w:rPr>
                <w:i/>
                <w:iCs/>
                <w:sz w:val="22"/>
                <w:szCs w:val="22"/>
              </w:rPr>
              <w:t>e vairāk kā 7 % no kopējām attiecināmām izmaksām</w:t>
            </w:r>
            <w:r w:rsidRPr="005946CB">
              <w:rPr>
                <w:sz w:val="22"/>
                <w:szCs w:val="22"/>
              </w:rPr>
              <w:t>)</w:t>
            </w:r>
          </w:p>
          <w:p w14:paraId="6F84C50B" w14:textId="2E8295B5" w:rsidR="00491BD6" w:rsidRPr="005946CB" w:rsidRDefault="00491BD6" w:rsidP="00963063">
            <w:pPr>
              <w:numPr>
                <w:ilvl w:val="0"/>
                <w:numId w:val="16"/>
              </w:numPr>
              <w:jc w:val="both"/>
              <w:rPr>
                <w:sz w:val="22"/>
                <w:szCs w:val="22"/>
              </w:rPr>
            </w:pPr>
            <w:r w:rsidRPr="005946CB">
              <w:rPr>
                <w:sz w:val="22"/>
                <w:szCs w:val="22"/>
              </w:rPr>
              <w:t>m</w:t>
            </w:r>
            <w:r w:rsidRPr="005946CB">
              <w:rPr>
                <w:sz w:val="22"/>
                <w:szCs w:val="22"/>
              </w:rPr>
              <w:t>ontāžas darbu izmaksas</w:t>
            </w:r>
            <w:r w:rsidRPr="005946CB">
              <w:rPr>
                <w:sz w:val="22"/>
                <w:szCs w:val="22"/>
              </w:rPr>
              <w:t xml:space="preserve"> (</w:t>
            </w:r>
            <w:r w:rsidRPr="005946CB">
              <w:rPr>
                <w:i/>
                <w:iCs/>
                <w:sz w:val="22"/>
                <w:szCs w:val="22"/>
              </w:rPr>
              <w:t>n</w:t>
            </w:r>
            <w:r w:rsidRPr="005946CB">
              <w:rPr>
                <w:i/>
                <w:iCs/>
                <w:sz w:val="22"/>
                <w:szCs w:val="22"/>
              </w:rPr>
              <w:t>e vairāk kā 10 % no kopējām attiecināmām izmaksām</w:t>
            </w:r>
            <w:r w:rsidRPr="005946CB">
              <w:rPr>
                <w:sz w:val="22"/>
                <w:szCs w:val="22"/>
              </w:rPr>
              <w:t>)</w:t>
            </w:r>
          </w:p>
          <w:p w14:paraId="06F8088B" w14:textId="7D7287C0" w:rsidR="005946CB" w:rsidRPr="005946CB" w:rsidRDefault="005946CB" w:rsidP="00963063">
            <w:pPr>
              <w:numPr>
                <w:ilvl w:val="0"/>
                <w:numId w:val="16"/>
              </w:numPr>
              <w:jc w:val="both"/>
              <w:rPr>
                <w:sz w:val="22"/>
                <w:szCs w:val="22"/>
              </w:rPr>
            </w:pPr>
            <w:r w:rsidRPr="005946CB">
              <w:rPr>
                <w:sz w:val="22"/>
                <w:szCs w:val="22"/>
              </w:rPr>
              <w:t>c</w:t>
            </w:r>
            <w:r w:rsidRPr="005946CB">
              <w:rPr>
                <w:sz w:val="22"/>
                <w:szCs w:val="22"/>
              </w:rPr>
              <w:t>itas izmaksas</w:t>
            </w:r>
            <w:r w:rsidRPr="005946CB">
              <w:rPr>
                <w:sz w:val="22"/>
                <w:szCs w:val="22"/>
              </w:rPr>
              <w:t>:</w:t>
            </w:r>
          </w:p>
          <w:p w14:paraId="0D80972B" w14:textId="14FB47A4" w:rsidR="00491BD6" w:rsidRPr="005946CB" w:rsidRDefault="00491BD6" w:rsidP="005946CB">
            <w:pPr>
              <w:numPr>
                <w:ilvl w:val="1"/>
                <w:numId w:val="16"/>
              </w:numPr>
              <w:jc w:val="both"/>
              <w:rPr>
                <w:sz w:val="22"/>
                <w:szCs w:val="22"/>
              </w:rPr>
            </w:pPr>
            <w:r w:rsidRPr="005946CB">
              <w:rPr>
                <w:sz w:val="22"/>
                <w:szCs w:val="22"/>
              </w:rPr>
              <w:t>esošās apgaismojuma infrastruktūras elementu (balstu, sadales skapju, stiprinājuma trošu un balsteņu, gaisa vadu un kabeļu līniju) nomaiņas vai pārbūves izmaksas</w:t>
            </w:r>
          </w:p>
          <w:p w14:paraId="736C1776" w14:textId="4517699B" w:rsidR="00491BD6" w:rsidRPr="005946CB" w:rsidRDefault="00491BD6" w:rsidP="005946CB">
            <w:pPr>
              <w:numPr>
                <w:ilvl w:val="1"/>
                <w:numId w:val="16"/>
              </w:numPr>
              <w:jc w:val="both"/>
              <w:rPr>
                <w:sz w:val="22"/>
                <w:szCs w:val="22"/>
              </w:rPr>
            </w:pPr>
            <w:r w:rsidRPr="005946CB">
              <w:rPr>
                <w:sz w:val="22"/>
                <w:szCs w:val="22"/>
              </w:rPr>
              <w:t>apgaismojuma infrastruktūras pilnveidošanai nepieciešamo ierīču iegādes un uzstādīšanas izmaksas un pieslēgšanas izmaksas centralizētajai vadības sistēmai</w:t>
            </w:r>
          </w:p>
          <w:p w14:paraId="15E347BA" w14:textId="2F50AD5C" w:rsidR="00491BD6" w:rsidRPr="005946CB" w:rsidRDefault="00491BD6" w:rsidP="005946CB">
            <w:pPr>
              <w:numPr>
                <w:ilvl w:val="1"/>
                <w:numId w:val="16"/>
              </w:numPr>
              <w:jc w:val="both"/>
              <w:rPr>
                <w:sz w:val="22"/>
                <w:szCs w:val="22"/>
              </w:rPr>
            </w:pPr>
            <w:r w:rsidRPr="005946CB">
              <w:rPr>
                <w:sz w:val="22"/>
                <w:szCs w:val="22"/>
              </w:rPr>
              <w:t>atjaunojamos energoresursus izmantojošu tehnoloģiju iegādes un uzstādīšanas izmaksas elektroenerģijas ražošanai gaismekļiem</w:t>
            </w:r>
          </w:p>
        </w:tc>
        <w:tc>
          <w:tcPr>
            <w:tcW w:w="2321" w:type="pct"/>
          </w:tcPr>
          <w:p w14:paraId="7D99DD46" w14:textId="77777777"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iepirkuma nolikums, uzaicinājumi un tehniskās specifikācijas;</w:t>
            </w:r>
          </w:p>
          <w:p w14:paraId="12CAB4E1" w14:textId="77777777"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izvēlētā pretendenta iesniegtais piedāvājums;</w:t>
            </w:r>
          </w:p>
          <w:p w14:paraId="0589C554" w14:textId="77777777"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vērtēšanas ziņojums un komisijas sēžu protokoli, lēmums par iepirkuma procedūras rezultātiem;</w:t>
            </w:r>
          </w:p>
          <w:p w14:paraId="1163D3BA" w14:textId="77777777"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ar izpildītāju noslēgtais līgums, kuram kā neatdalāma sastāvdaļa pievienota detalizēta tāme;</w:t>
            </w:r>
          </w:p>
          <w:p w14:paraId="3DBE407E" w14:textId="77777777"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pieņemšanas-nodošanas akti (forma Nr.2, forma Nr.3, ja attiecināms);</w:t>
            </w:r>
          </w:p>
          <w:p w14:paraId="46BCE4E9" w14:textId="2A2D472F"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darījumu apliecinoši dokumenti</w:t>
            </w:r>
            <w:r w:rsidRPr="005946CB">
              <w:rPr>
                <w:sz w:val="22"/>
                <w:szCs w:val="22"/>
                <w:vertAlign w:val="superscript"/>
              </w:rPr>
              <w:t>2</w:t>
            </w:r>
            <w:r w:rsidRPr="005946CB">
              <w:rPr>
                <w:sz w:val="22"/>
                <w:szCs w:val="22"/>
              </w:rPr>
              <w:t>;</w:t>
            </w:r>
          </w:p>
          <w:p w14:paraId="4B4369A9" w14:textId="1C81203A" w:rsidR="00491BD6" w:rsidRPr="005946CB" w:rsidRDefault="00491BD6" w:rsidP="00491BD6">
            <w:pPr>
              <w:pStyle w:val="ListParagraph"/>
              <w:numPr>
                <w:ilvl w:val="0"/>
                <w:numId w:val="19"/>
              </w:numPr>
              <w:spacing w:after="0" w:line="240" w:lineRule="auto"/>
              <w:jc w:val="both"/>
              <w:rPr>
                <w:sz w:val="22"/>
                <w:szCs w:val="22"/>
              </w:rPr>
            </w:pPr>
            <w:r w:rsidRPr="005946CB">
              <w:rPr>
                <w:sz w:val="22"/>
                <w:szCs w:val="22"/>
              </w:rPr>
              <w:t>Projekta bankas konta apgrozījuma izdruka</w:t>
            </w:r>
            <w:r w:rsidRPr="005946CB">
              <w:rPr>
                <w:sz w:val="22"/>
                <w:szCs w:val="22"/>
                <w:vertAlign w:val="superscript"/>
              </w:rPr>
              <w:t>3</w:t>
            </w:r>
            <w:r w:rsidRPr="005946CB">
              <w:rPr>
                <w:sz w:val="22"/>
                <w:szCs w:val="22"/>
              </w:rPr>
              <w:t xml:space="preserve"> par pārskata periodu.</w:t>
            </w:r>
          </w:p>
          <w:p w14:paraId="339D665D" w14:textId="1420A733" w:rsidR="002A176B" w:rsidRPr="005946CB" w:rsidRDefault="002A176B" w:rsidP="00E23716">
            <w:pPr>
              <w:jc w:val="both"/>
              <w:rPr>
                <w:sz w:val="22"/>
                <w:szCs w:val="22"/>
                <w:lang w:eastAsia="en-US"/>
              </w:rPr>
            </w:pPr>
          </w:p>
        </w:tc>
      </w:tr>
      <w:tr w:rsidR="00491BD6" w:rsidRPr="005946CB" w14:paraId="47CD3FFC" w14:textId="77777777" w:rsidTr="005946CB">
        <w:trPr>
          <w:trHeight w:val="113"/>
        </w:trPr>
        <w:tc>
          <w:tcPr>
            <w:tcW w:w="198" w:type="pct"/>
            <w:gridSpan w:val="2"/>
            <w:shd w:val="clear" w:color="auto" w:fill="FFFFFF"/>
          </w:tcPr>
          <w:p w14:paraId="365477BE" w14:textId="7CD33C9C" w:rsidR="00491BD6" w:rsidRPr="005946CB" w:rsidRDefault="00491BD6" w:rsidP="008A171C">
            <w:pPr>
              <w:jc w:val="center"/>
              <w:rPr>
                <w:sz w:val="22"/>
                <w:szCs w:val="22"/>
              </w:rPr>
            </w:pPr>
            <w:r w:rsidRPr="005946CB">
              <w:rPr>
                <w:sz w:val="22"/>
                <w:szCs w:val="22"/>
              </w:rPr>
              <w:t>2</w:t>
            </w:r>
            <w:r w:rsidRPr="005946CB">
              <w:rPr>
                <w:sz w:val="22"/>
                <w:szCs w:val="22"/>
              </w:rPr>
              <w:t>.</w:t>
            </w:r>
          </w:p>
        </w:tc>
        <w:tc>
          <w:tcPr>
            <w:tcW w:w="2478" w:type="pct"/>
            <w:gridSpan w:val="2"/>
          </w:tcPr>
          <w:p w14:paraId="618285EB" w14:textId="77777777" w:rsidR="00491BD6" w:rsidRPr="005946CB" w:rsidRDefault="00491BD6" w:rsidP="008A171C">
            <w:pPr>
              <w:numPr>
                <w:ilvl w:val="0"/>
                <w:numId w:val="16"/>
              </w:numPr>
              <w:jc w:val="both"/>
              <w:rPr>
                <w:sz w:val="22"/>
                <w:szCs w:val="22"/>
              </w:rPr>
            </w:pPr>
            <w:r w:rsidRPr="005946CB">
              <w:rPr>
                <w:sz w:val="22"/>
                <w:szCs w:val="22"/>
              </w:rPr>
              <w:t>pievienotās vērtības nodokļa maksājumi, ja tie nav atgūstami no valsts budžeta</w:t>
            </w:r>
          </w:p>
        </w:tc>
        <w:tc>
          <w:tcPr>
            <w:tcW w:w="2324" w:type="pct"/>
            <w:gridSpan w:val="2"/>
          </w:tcPr>
          <w:p w14:paraId="675876AA" w14:textId="77777777" w:rsidR="00491BD6" w:rsidRPr="005946CB" w:rsidRDefault="00491BD6" w:rsidP="00491BD6">
            <w:pPr>
              <w:pStyle w:val="ListParagraph"/>
              <w:numPr>
                <w:ilvl w:val="0"/>
                <w:numId w:val="17"/>
              </w:numPr>
              <w:spacing w:after="0" w:line="240" w:lineRule="auto"/>
              <w:jc w:val="both"/>
              <w:rPr>
                <w:sz w:val="22"/>
                <w:szCs w:val="22"/>
              </w:rPr>
            </w:pPr>
            <w:r w:rsidRPr="005946CB">
              <w:rPr>
                <w:sz w:val="22"/>
                <w:szCs w:val="22"/>
              </w:rPr>
              <w:t>pievienotās vērtības nodokļa (turpmāk – PVN) deklarācija</w:t>
            </w:r>
            <w:r w:rsidRPr="005946CB">
              <w:rPr>
                <w:sz w:val="22"/>
                <w:szCs w:val="22"/>
                <w:vertAlign w:val="superscript"/>
              </w:rPr>
              <w:t>4</w:t>
            </w:r>
            <w:r w:rsidRPr="005946CB">
              <w:rPr>
                <w:sz w:val="22"/>
                <w:szCs w:val="22"/>
              </w:rPr>
              <w:t xml:space="preserve">, ja PVN maksājumi ir iekļauti projekta attiecināmajās izmaksās un PVN tiek maksāts saskaņā ar </w:t>
            </w:r>
            <w:hyperlink r:id="rId7" w:anchor="p142" w:history="1">
              <w:r w:rsidRPr="005946CB">
                <w:rPr>
                  <w:rStyle w:val="Hyperlink"/>
                  <w:sz w:val="22"/>
                  <w:szCs w:val="22"/>
                </w:rPr>
                <w:t>Pievienotās vērtības nodokļa likuma 142. pantu</w:t>
              </w:r>
            </w:hyperlink>
          </w:p>
        </w:tc>
      </w:tr>
    </w:tbl>
    <w:p w14:paraId="1EA0BC27" w14:textId="77777777" w:rsidR="00491BD6" w:rsidRPr="00FE3358" w:rsidRDefault="00491BD6" w:rsidP="00491BD6">
      <w:pPr>
        <w:pStyle w:val="ListParagraph"/>
        <w:ind w:left="0"/>
        <w:jc w:val="both"/>
        <w:rPr>
          <w:b/>
          <w:sz w:val="20"/>
          <w:szCs w:val="20"/>
        </w:rPr>
      </w:pPr>
      <w:r w:rsidRPr="00FE3358">
        <w:rPr>
          <w:b/>
          <w:sz w:val="20"/>
          <w:szCs w:val="20"/>
        </w:rPr>
        <w:t>Piezīmes:</w:t>
      </w:r>
    </w:p>
    <w:p w14:paraId="175EF5EB" w14:textId="77777777" w:rsidR="00491BD6" w:rsidRPr="005946CB" w:rsidRDefault="00491BD6" w:rsidP="00491BD6">
      <w:pPr>
        <w:pStyle w:val="ListParagraph"/>
        <w:ind w:left="0"/>
        <w:jc w:val="both"/>
        <w:rPr>
          <w:sz w:val="16"/>
          <w:szCs w:val="16"/>
        </w:rPr>
      </w:pPr>
      <w:r w:rsidRPr="005946CB">
        <w:rPr>
          <w:sz w:val="16"/>
          <w:szCs w:val="16"/>
          <w:vertAlign w:val="superscript"/>
        </w:rPr>
        <w:t>1</w:t>
      </w:r>
      <w:r w:rsidRPr="005946CB">
        <w:rPr>
          <w:sz w:val="16"/>
          <w:szCs w:val="16"/>
        </w:rPr>
        <w:t xml:space="preserve"> Vides investīciju fondā iesniedz Attiecināmo izmaksu apliecinošo dokumentu kopijas, nevis oriģinālus vai norāda saiti uz tīmekļa vietni, kur ir pieejami dokumenti (publiski vai nosūtot pieejas datus).</w:t>
      </w:r>
    </w:p>
    <w:p w14:paraId="310CF25E" w14:textId="77777777" w:rsidR="00491BD6" w:rsidRPr="005946CB" w:rsidRDefault="00491BD6" w:rsidP="00491BD6">
      <w:pPr>
        <w:pStyle w:val="ListParagraph"/>
        <w:ind w:left="0"/>
        <w:jc w:val="both"/>
        <w:rPr>
          <w:sz w:val="16"/>
          <w:szCs w:val="16"/>
        </w:rPr>
      </w:pPr>
      <w:r w:rsidRPr="005946CB">
        <w:rPr>
          <w:sz w:val="16"/>
          <w:szCs w:val="16"/>
          <w:vertAlign w:val="superscript"/>
        </w:rPr>
        <w:t>2</w:t>
      </w:r>
      <w:r w:rsidRPr="005946CB">
        <w:rPr>
          <w:sz w:val="16"/>
          <w:szCs w:val="16"/>
        </w:rPr>
        <w:t xml:space="preserve"> darījumu apliecinošs dokuments ir rēķins, faktūrrēķins, preču pavadzīme-rēķins un citus. </w:t>
      </w:r>
      <w:bookmarkStart w:id="0" w:name="_Hlk124423380"/>
      <w:r w:rsidRPr="005946CB">
        <w:rPr>
          <w:sz w:val="16"/>
          <w:szCs w:val="16"/>
        </w:rPr>
        <w:t>Būvdarbu līguma izpildes rēķiniem jānorāda grāmatvedības kontējums.</w:t>
      </w:r>
      <w:bookmarkEnd w:id="0"/>
    </w:p>
    <w:p w14:paraId="58BACA40" w14:textId="77777777" w:rsidR="00491BD6" w:rsidRPr="005946CB" w:rsidRDefault="00491BD6" w:rsidP="00491BD6">
      <w:pPr>
        <w:pStyle w:val="ListParagraph"/>
        <w:ind w:left="0"/>
        <w:jc w:val="both"/>
        <w:rPr>
          <w:sz w:val="16"/>
          <w:szCs w:val="16"/>
        </w:rPr>
      </w:pPr>
      <w:r w:rsidRPr="005946CB">
        <w:rPr>
          <w:sz w:val="16"/>
          <w:szCs w:val="16"/>
          <w:vertAlign w:val="superscript"/>
        </w:rPr>
        <w:t>3</w:t>
      </w:r>
      <w:r w:rsidRPr="005946CB">
        <w:rPr>
          <w:sz w:val="16"/>
          <w:szCs w:val="16"/>
        </w:rPr>
        <w:t xml:space="preserve"> iesniedz kredītiestādes apstiprinātu vai finansējuma saņēmēja, atbilstoši </w:t>
      </w:r>
      <w:hyperlink r:id="rId8" w:anchor="p11" w:history="1">
        <w:r w:rsidRPr="005946CB">
          <w:rPr>
            <w:rStyle w:val="Hyperlink"/>
            <w:sz w:val="16"/>
            <w:szCs w:val="16"/>
          </w:rPr>
          <w:t>Grāmatvedības likuma 11. pantam</w:t>
        </w:r>
      </w:hyperlink>
      <w:r w:rsidRPr="005946CB">
        <w:rPr>
          <w:sz w:val="16"/>
          <w:szCs w:val="16"/>
        </w:rPr>
        <w:t>, apliecinātu bankas konta apgrozījuma izdruku.</w:t>
      </w:r>
    </w:p>
    <w:p w14:paraId="10EDEBBE" w14:textId="77777777" w:rsidR="00491BD6" w:rsidRPr="005946CB" w:rsidRDefault="00491BD6" w:rsidP="00491BD6">
      <w:pPr>
        <w:pStyle w:val="ListParagraph"/>
        <w:ind w:left="0"/>
        <w:jc w:val="both"/>
        <w:rPr>
          <w:sz w:val="16"/>
          <w:szCs w:val="16"/>
        </w:rPr>
      </w:pPr>
      <w:r w:rsidRPr="005946CB">
        <w:rPr>
          <w:sz w:val="16"/>
          <w:szCs w:val="16"/>
          <w:vertAlign w:val="superscript"/>
        </w:rPr>
        <w:t>4</w:t>
      </w:r>
      <w:r w:rsidRPr="005946CB">
        <w:rPr>
          <w:sz w:val="16"/>
          <w:szCs w:val="16"/>
        </w:rPr>
        <w:t xml:space="preserve"> iesniegtās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1279A07B" w14:textId="77777777" w:rsidR="00491BD6" w:rsidRPr="005946CB" w:rsidRDefault="00491BD6" w:rsidP="00491BD6">
      <w:pPr>
        <w:pStyle w:val="ListParagraph"/>
        <w:ind w:left="0"/>
        <w:jc w:val="both"/>
        <w:rPr>
          <w:sz w:val="16"/>
          <w:szCs w:val="16"/>
        </w:rPr>
      </w:pPr>
    </w:p>
    <w:p w14:paraId="6F36A68F" w14:textId="4A727316" w:rsidR="00491BD6" w:rsidRPr="005946CB" w:rsidRDefault="00491BD6" w:rsidP="00E313DB">
      <w:pPr>
        <w:pStyle w:val="ListParagraph"/>
        <w:ind w:left="0"/>
        <w:jc w:val="both"/>
        <w:rPr>
          <w:sz w:val="16"/>
          <w:szCs w:val="16"/>
        </w:rPr>
      </w:pPr>
      <w:r w:rsidRPr="005946CB">
        <w:rPr>
          <w:sz w:val="16"/>
          <w:szCs w:val="16"/>
        </w:rPr>
        <w:t xml:space="preserve">Izstrādājot un noformējot maksājumu un darījumu apliecinošos dokumentus, ņem vērā </w:t>
      </w:r>
      <w:hyperlink r:id="rId9" w:history="1">
        <w:r w:rsidRPr="005946CB">
          <w:rPr>
            <w:rStyle w:val="Hyperlink"/>
            <w:sz w:val="16"/>
            <w:szCs w:val="16"/>
          </w:rPr>
          <w:t>Grāmatvedības likumā</w:t>
        </w:r>
      </w:hyperlink>
      <w:r w:rsidRPr="005946CB">
        <w:rPr>
          <w:sz w:val="16"/>
          <w:szCs w:val="16"/>
        </w:rPr>
        <w:t xml:space="preserve">, </w:t>
      </w:r>
      <w:hyperlink r:id="rId10" w:history="1">
        <w:r w:rsidRPr="005946CB">
          <w:rPr>
            <w:rStyle w:val="Hyperlink"/>
            <w:sz w:val="16"/>
            <w:szCs w:val="16"/>
          </w:rPr>
          <w:t>Pievienotās vērtības nodokļa likumā</w:t>
        </w:r>
      </w:hyperlink>
      <w:r w:rsidRPr="005946CB">
        <w:rPr>
          <w:sz w:val="16"/>
          <w:szCs w:val="16"/>
        </w:rPr>
        <w:t xml:space="preserve">, </w:t>
      </w:r>
      <w:hyperlink r:id="rId11" w:history="1">
        <w:r w:rsidRPr="005946CB">
          <w:rPr>
            <w:rStyle w:val="Hyperlink"/>
            <w:sz w:val="16"/>
            <w:szCs w:val="16"/>
          </w:rPr>
          <w:t>Ministru kabineta 2021. gada 21. decembra noteikumos Nr. 877 “Grāmatvedības kārtošanas noteikumi”</w:t>
        </w:r>
      </w:hyperlink>
      <w:r w:rsidRPr="005946CB">
        <w:rPr>
          <w:sz w:val="16"/>
          <w:szCs w:val="16"/>
        </w:rPr>
        <w:t xml:space="preserve">, </w:t>
      </w:r>
      <w:hyperlink r:id="rId12" w:history="1">
        <w:r w:rsidRPr="005946CB">
          <w:rPr>
            <w:rStyle w:val="Hyperlink"/>
            <w:sz w:val="16"/>
            <w:szCs w:val="16"/>
          </w:rPr>
          <w:t>Ministru kabineta 2018. gada 4. septembra noteikumos Nr. 558 “Dokumentu izstrādāšanas un noformēšanas kārtība”</w:t>
        </w:r>
      </w:hyperlink>
      <w:r w:rsidRPr="005946CB">
        <w:rPr>
          <w:sz w:val="16"/>
          <w:szCs w:val="16"/>
        </w:rPr>
        <w:t>, kā arī citos normatīvajos aktos noteiktās prasības.</w:t>
      </w:r>
    </w:p>
    <w:sectPr w:rsidR="00491BD6" w:rsidRPr="005946CB" w:rsidSect="00E23716">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3D5B" w14:textId="77777777" w:rsidR="00CD3B31" w:rsidRDefault="00CD3B31" w:rsidP="00BD1BB6">
      <w:r>
        <w:separator/>
      </w:r>
    </w:p>
  </w:endnote>
  <w:endnote w:type="continuationSeparator" w:id="0">
    <w:p w14:paraId="2FD47322" w14:textId="77777777" w:rsidR="00CD3B31" w:rsidRDefault="00CD3B31"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C635" w14:textId="77777777" w:rsidR="005946CB" w:rsidRDefault="0059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2B1D" w14:textId="3F2A3A79" w:rsidR="00D21351" w:rsidRDefault="00D21351">
    <w:pPr>
      <w:pStyle w:val="Footer"/>
      <w:jc w:val="right"/>
    </w:pPr>
  </w:p>
  <w:p w14:paraId="6203A551" w14:textId="77777777" w:rsidR="00D21351" w:rsidRDefault="00D21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F8A9" w14:textId="77777777" w:rsidR="005946CB" w:rsidRDefault="0059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21C3" w14:textId="77777777" w:rsidR="00CD3B31" w:rsidRDefault="00CD3B31" w:rsidP="00BD1BB6">
      <w:r>
        <w:separator/>
      </w:r>
    </w:p>
  </w:footnote>
  <w:footnote w:type="continuationSeparator" w:id="0">
    <w:p w14:paraId="60775181" w14:textId="77777777" w:rsidR="00CD3B31" w:rsidRDefault="00CD3B31" w:rsidP="00BD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D56E" w14:textId="77777777" w:rsidR="005946CB" w:rsidRDefault="0059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239" w14:textId="40D818C6" w:rsidR="00E23716" w:rsidRPr="002B324E" w:rsidRDefault="00692141" w:rsidP="00E23716">
    <w:pPr>
      <w:jc w:val="right"/>
      <w:rPr>
        <w:sz w:val="16"/>
        <w:szCs w:val="16"/>
      </w:rPr>
    </w:pPr>
    <w:r>
      <w:rPr>
        <w:sz w:val="16"/>
        <w:szCs w:val="16"/>
      </w:rPr>
      <w:t>“</w:t>
    </w:r>
    <w:r w:rsidR="005946CB" w:rsidRPr="005946CB">
      <w:rPr>
        <w:sz w:val="16"/>
        <w:szCs w:val="16"/>
      </w:rPr>
      <w:t>Siltumnīcefekta gāzu emisiju samazināšana pašvaldību publisko teritoriju apgaismojuma infrastruktūrā</w:t>
    </w:r>
    <w:r>
      <w:rPr>
        <w:sz w:val="16"/>
        <w:szCs w:val="16"/>
      </w:rPr>
      <w:t>”</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8883" w14:textId="77777777" w:rsidR="005946CB" w:rsidRDefault="0059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15:restartNumberingAfterBreak="0">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15:restartNumberingAfterBreak="0">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7B6352"/>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7" w15:restartNumberingAfterBreak="0">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9" w15:restartNumberingAfterBreak="0">
    <w:nsid w:val="3D442C13"/>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2" w15:restartNumberingAfterBreak="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8" w15:restartNumberingAfterBreak="0">
    <w:nsid w:val="7BE3194B"/>
    <w:multiLevelType w:val="hybridMultilevel"/>
    <w:tmpl w:val="F94EF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608132">
    <w:abstractNumId w:val="12"/>
  </w:num>
  <w:num w:numId="2" w16cid:durableId="1201089699">
    <w:abstractNumId w:val="13"/>
  </w:num>
  <w:num w:numId="3" w16cid:durableId="1614556642">
    <w:abstractNumId w:val="10"/>
  </w:num>
  <w:num w:numId="4" w16cid:durableId="273026790">
    <w:abstractNumId w:val="1"/>
  </w:num>
  <w:num w:numId="5" w16cid:durableId="1989163761">
    <w:abstractNumId w:val="15"/>
  </w:num>
  <w:num w:numId="6" w16cid:durableId="694385280">
    <w:abstractNumId w:val="14"/>
  </w:num>
  <w:num w:numId="7" w16cid:durableId="547382257">
    <w:abstractNumId w:val="2"/>
  </w:num>
  <w:num w:numId="8" w16cid:durableId="1984504600">
    <w:abstractNumId w:val="7"/>
  </w:num>
  <w:num w:numId="9" w16cid:durableId="1218589116">
    <w:abstractNumId w:val="11"/>
  </w:num>
  <w:num w:numId="10" w16cid:durableId="1172987056">
    <w:abstractNumId w:val="16"/>
  </w:num>
  <w:num w:numId="11" w16cid:durableId="1315837440">
    <w:abstractNumId w:val="0"/>
  </w:num>
  <w:num w:numId="12" w16cid:durableId="1405489428">
    <w:abstractNumId w:val="6"/>
  </w:num>
  <w:num w:numId="13" w16cid:durableId="42289094">
    <w:abstractNumId w:val="17"/>
  </w:num>
  <w:num w:numId="14" w16cid:durableId="1635869432">
    <w:abstractNumId w:val="8"/>
  </w:num>
  <w:num w:numId="15" w16cid:durableId="1840152324">
    <w:abstractNumId w:val="5"/>
  </w:num>
  <w:num w:numId="16" w16cid:durableId="410740791">
    <w:abstractNumId w:val="4"/>
  </w:num>
  <w:num w:numId="17" w16cid:durableId="396322966">
    <w:abstractNumId w:val="3"/>
  </w:num>
  <w:num w:numId="18" w16cid:durableId="1584291962">
    <w:abstractNumId w:val="9"/>
  </w:num>
  <w:num w:numId="19" w16cid:durableId="957569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66FC7"/>
    <w:rsid w:val="00370C6D"/>
    <w:rsid w:val="003772E6"/>
    <w:rsid w:val="003A0C79"/>
    <w:rsid w:val="003A162B"/>
    <w:rsid w:val="003A2EF6"/>
    <w:rsid w:val="003A4F07"/>
    <w:rsid w:val="003A7C70"/>
    <w:rsid w:val="003B4245"/>
    <w:rsid w:val="003C2410"/>
    <w:rsid w:val="003D0983"/>
    <w:rsid w:val="003E5B2A"/>
    <w:rsid w:val="004323CA"/>
    <w:rsid w:val="00433D45"/>
    <w:rsid w:val="00460C98"/>
    <w:rsid w:val="00474602"/>
    <w:rsid w:val="00491BD6"/>
    <w:rsid w:val="004B2663"/>
    <w:rsid w:val="004C0636"/>
    <w:rsid w:val="004C780A"/>
    <w:rsid w:val="004E1D25"/>
    <w:rsid w:val="00501AC7"/>
    <w:rsid w:val="0051752B"/>
    <w:rsid w:val="00532560"/>
    <w:rsid w:val="005425B4"/>
    <w:rsid w:val="005562B7"/>
    <w:rsid w:val="005563E1"/>
    <w:rsid w:val="005631DF"/>
    <w:rsid w:val="00567CAD"/>
    <w:rsid w:val="00570F26"/>
    <w:rsid w:val="005946CB"/>
    <w:rsid w:val="005C3450"/>
    <w:rsid w:val="005C7872"/>
    <w:rsid w:val="005E59DB"/>
    <w:rsid w:val="006502C6"/>
    <w:rsid w:val="00692141"/>
    <w:rsid w:val="006B03E4"/>
    <w:rsid w:val="006B0E85"/>
    <w:rsid w:val="006D3155"/>
    <w:rsid w:val="006D7670"/>
    <w:rsid w:val="006E2C07"/>
    <w:rsid w:val="006E4108"/>
    <w:rsid w:val="006F2E38"/>
    <w:rsid w:val="00717F28"/>
    <w:rsid w:val="00730430"/>
    <w:rsid w:val="00735BA5"/>
    <w:rsid w:val="007446C7"/>
    <w:rsid w:val="007552D0"/>
    <w:rsid w:val="00760F3F"/>
    <w:rsid w:val="00793E67"/>
    <w:rsid w:val="007F401F"/>
    <w:rsid w:val="0081357A"/>
    <w:rsid w:val="00816234"/>
    <w:rsid w:val="00825D34"/>
    <w:rsid w:val="0083272A"/>
    <w:rsid w:val="00850B2A"/>
    <w:rsid w:val="008562A7"/>
    <w:rsid w:val="00866875"/>
    <w:rsid w:val="00892681"/>
    <w:rsid w:val="008A12DC"/>
    <w:rsid w:val="008B3799"/>
    <w:rsid w:val="008C6A94"/>
    <w:rsid w:val="008D66CA"/>
    <w:rsid w:val="008D7C22"/>
    <w:rsid w:val="008E4236"/>
    <w:rsid w:val="00915940"/>
    <w:rsid w:val="00923586"/>
    <w:rsid w:val="00935913"/>
    <w:rsid w:val="0094386E"/>
    <w:rsid w:val="00957591"/>
    <w:rsid w:val="00963063"/>
    <w:rsid w:val="00964388"/>
    <w:rsid w:val="00973E68"/>
    <w:rsid w:val="0097624E"/>
    <w:rsid w:val="009801C6"/>
    <w:rsid w:val="0098476A"/>
    <w:rsid w:val="009B6907"/>
    <w:rsid w:val="009D48D3"/>
    <w:rsid w:val="00A568E4"/>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46C8"/>
    <w:rsid w:val="00C56898"/>
    <w:rsid w:val="00C60798"/>
    <w:rsid w:val="00C82C94"/>
    <w:rsid w:val="00C87E1E"/>
    <w:rsid w:val="00C91874"/>
    <w:rsid w:val="00CA11A9"/>
    <w:rsid w:val="00CA77D3"/>
    <w:rsid w:val="00CB0A11"/>
    <w:rsid w:val="00CC32C7"/>
    <w:rsid w:val="00CC4624"/>
    <w:rsid w:val="00CC7431"/>
    <w:rsid w:val="00CD3B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C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41311A"/>
  <w15:docId w15:val="{AE482F7E-0E23-4E61-9080-5A96A77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424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253451" TargetMode="External"/><Relationship Id="rId12" Type="http://schemas.openxmlformats.org/officeDocument/2006/relationships/hyperlink" Target="https://likumi.lv/ta/id/301436"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2870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25345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2424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378</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Gints Kārkliņš</cp:lastModifiedBy>
  <cp:revision>4</cp:revision>
  <cp:lastPrinted>2014-09-29T10:05:00Z</cp:lastPrinted>
  <dcterms:created xsi:type="dcterms:W3CDTF">2018-12-21T15:32:00Z</dcterms:created>
  <dcterms:modified xsi:type="dcterms:W3CDTF">2023-03-21T12:28:00Z</dcterms:modified>
</cp:coreProperties>
</file>