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580" w14:textId="77777777" w:rsidR="00AB59BD" w:rsidRPr="0084407A" w:rsidRDefault="00AB59BD" w:rsidP="00AB59BD">
      <w:pPr>
        <w:jc w:val="center"/>
        <w:rPr>
          <w:b/>
        </w:rPr>
      </w:pPr>
      <w:r w:rsidRPr="0084407A">
        <w:rPr>
          <w:b/>
        </w:rPr>
        <w:t>Atbildes uz uzdotajiem jautājumiem par</w:t>
      </w:r>
    </w:p>
    <w:p w14:paraId="4BA41B06" w14:textId="77777777" w:rsidR="00AB59BD" w:rsidRPr="0084407A" w:rsidRDefault="00AB59BD" w:rsidP="00AB59BD">
      <w:pPr>
        <w:jc w:val="center"/>
        <w:rPr>
          <w:b/>
        </w:rPr>
      </w:pPr>
      <w:r w:rsidRPr="0084407A">
        <w:rPr>
          <w:b/>
        </w:rPr>
        <w:t>Emisijas kvotu izsolīšanas instrumenta finansēto projektu atklāta konkursu</w:t>
      </w:r>
    </w:p>
    <w:p w14:paraId="71AD81C1" w14:textId="46873E2D" w:rsidR="00AB59BD" w:rsidRPr="0084407A" w:rsidRDefault="00800BCA" w:rsidP="00AB59BD">
      <w:pPr>
        <w:jc w:val="center"/>
        <w:rPr>
          <w:b/>
        </w:rPr>
      </w:pPr>
      <w:r w:rsidRPr="0084407A">
        <w:rPr>
          <w:b/>
        </w:rPr>
        <w:t>“</w:t>
      </w:r>
      <w:r w:rsidR="00C53F1A" w:rsidRPr="0084407A">
        <w:rPr>
          <w:b/>
        </w:rPr>
        <w:t>Siltumnīcefekta gāzu emisiju samazināšana pašvaldību publisko teritoriju apgaismojuma infrastruktūrā</w:t>
      </w:r>
      <w:r w:rsidRPr="0084407A">
        <w:rPr>
          <w:b/>
        </w:rPr>
        <w:t>”</w:t>
      </w:r>
    </w:p>
    <w:p w14:paraId="2857BB61" w14:textId="77777777" w:rsidR="00AB59BD" w:rsidRPr="0084407A" w:rsidRDefault="00AB59BD" w:rsidP="00AB59BD"/>
    <w:p w14:paraId="48BC523A" w14:textId="77777777" w:rsidR="00AB59BD" w:rsidRPr="0084407A" w:rsidRDefault="00AB59BD" w:rsidP="00AB59BD">
      <w:pPr>
        <w:rPr>
          <w:i/>
        </w:rPr>
      </w:pPr>
      <w:r w:rsidRPr="0084407A">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0"/>
        <w:gridCol w:w="12336"/>
      </w:tblGrid>
      <w:tr w:rsidR="00AB59BD" w:rsidRPr="0084407A" w14:paraId="7F0F1678" w14:textId="77777777" w:rsidTr="00AB59BD">
        <w:tc>
          <w:tcPr>
            <w:tcW w:w="2290" w:type="dxa"/>
          </w:tcPr>
          <w:p w14:paraId="7BAB5AAD" w14:textId="77777777" w:rsidR="00AB59BD" w:rsidRPr="0084407A" w:rsidRDefault="00AB59BD" w:rsidP="00F87C4A">
            <w:pPr>
              <w:rPr>
                <w:b/>
                <w:sz w:val="20"/>
                <w:szCs w:val="20"/>
              </w:rPr>
            </w:pPr>
            <w:r w:rsidRPr="0084407A">
              <w:rPr>
                <w:b/>
                <w:sz w:val="20"/>
                <w:szCs w:val="20"/>
              </w:rPr>
              <w:t>ES</w:t>
            </w:r>
          </w:p>
        </w:tc>
        <w:tc>
          <w:tcPr>
            <w:tcW w:w="12336" w:type="dxa"/>
          </w:tcPr>
          <w:p w14:paraId="77C2965B" w14:textId="77777777" w:rsidR="00AB59BD" w:rsidRPr="0084407A" w:rsidRDefault="00AB59BD" w:rsidP="00F87C4A">
            <w:pPr>
              <w:rPr>
                <w:sz w:val="20"/>
                <w:szCs w:val="20"/>
              </w:rPr>
            </w:pPr>
            <w:r w:rsidRPr="0084407A">
              <w:rPr>
                <w:sz w:val="20"/>
                <w:szCs w:val="20"/>
              </w:rPr>
              <w:t>Eiropas Savienība</w:t>
            </w:r>
          </w:p>
        </w:tc>
      </w:tr>
      <w:tr w:rsidR="00AB59BD" w:rsidRPr="0084407A" w14:paraId="450A6679" w14:textId="77777777" w:rsidTr="00AB59BD">
        <w:tc>
          <w:tcPr>
            <w:tcW w:w="2290" w:type="dxa"/>
          </w:tcPr>
          <w:p w14:paraId="00DDEBB7" w14:textId="77777777" w:rsidR="00AB59BD" w:rsidRPr="0084407A" w:rsidRDefault="00AB59BD" w:rsidP="00B62CF1">
            <w:pPr>
              <w:rPr>
                <w:b/>
                <w:sz w:val="20"/>
                <w:szCs w:val="20"/>
              </w:rPr>
            </w:pPr>
            <w:r w:rsidRPr="0084407A">
              <w:rPr>
                <w:b/>
                <w:sz w:val="20"/>
                <w:szCs w:val="20"/>
              </w:rPr>
              <w:t>VARAM</w:t>
            </w:r>
          </w:p>
        </w:tc>
        <w:tc>
          <w:tcPr>
            <w:tcW w:w="12336" w:type="dxa"/>
          </w:tcPr>
          <w:p w14:paraId="5CA8712B" w14:textId="77777777" w:rsidR="00AB59BD" w:rsidRPr="0084407A" w:rsidRDefault="00AB59BD" w:rsidP="00B62CF1">
            <w:pPr>
              <w:rPr>
                <w:sz w:val="20"/>
                <w:szCs w:val="20"/>
              </w:rPr>
            </w:pPr>
            <w:r w:rsidRPr="0084407A">
              <w:rPr>
                <w:sz w:val="20"/>
                <w:szCs w:val="20"/>
              </w:rPr>
              <w:t>Vides aizsardzības un reģionālās attīstības ministrija</w:t>
            </w:r>
          </w:p>
        </w:tc>
      </w:tr>
      <w:tr w:rsidR="00AB59BD" w:rsidRPr="0084407A" w14:paraId="06930519" w14:textId="77777777" w:rsidTr="00983322">
        <w:tc>
          <w:tcPr>
            <w:tcW w:w="2290" w:type="dxa"/>
          </w:tcPr>
          <w:p w14:paraId="3B0A0BD2" w14:textId="535823D0" w:rsidR="00AB59BD" w:rsidRPr="0084407A" w:rsidRDefault="00800BCA" w:rsidP="00983322">
            <w:pPr>
              <w:rPr>
                <w:b/>
                <w:sz w:val="20"/>
                <w:szCs w:val="20"/>
              </w:rPr>
            </w:pPr>
            <w:r w:rsidRPr="0084407A">
              <w:rPr>
                <w:b/>
                <w:sz w:val="20"/>
                <w:szCs w:val="20"/>
              </w:rPr>
              <w:t>Fonds</w:t>
            </w:r>
          </w:p>
        </w:tc>
        <w:tc>
          <w:tcPr>
            <w:tcW w:w="12336" w:type="dxa"/>
          </w:tcPr>
          <w:p w14:paraId="0B74454B" w14:textId="496FB43C" w:rsidR="00AB59BD" w:rsidRPr="0084407A" w:rsidRDefault="00800BCA" w:rsidP="00983322">
            <w:pPr>
              <w:rPr>
                <w:sz w:val="20"/>
                <w:szCs w:val="20"/>
              </w:rPr>
            </w:pPr>
            <w:r w:rsidRPr="0084407A">
              <w:rPr>
                <w:sz w:val="20"/>
                <w:szCs w:val="20"/>
              </w:rPr>
              <w:t>S</w:t>
            </w:r>
            <w:r w:rsidR="00AB59BD" w:rsidRPr="0084407A">
              <w:rPr>
                <w:sz w:val="20"/>
                <w:szCs w:val="20"/>
              </w:rPr>
              <w:t xml:space="preserve">abiedrība ar ierobežotu atbildību </w:t>
            </w:r>
            <w:r w:rsidRPr="0084407A">
              <w:rPr>
                <w:sz w:val="20"/>
                <w:szCs w:val="20"/>
              </w:rPr>
              <w:t>“</w:t>
            </w:r>
            <w:r w:rsidR="00AB59BD" w:rsidRPr="0084407A">
              <w:rPr>
                <w:sz w:val="20"/>
                <w:szCs w:val="20"/>
              </w:rPr>
              <w:t>Vides investīciju fonds”</w:t>
            </w:r>
          </w:p>
        </w:tc>
      </w:tr>
      <w:tr w:rsidR="00AB59BD" w:rsidRPr="0084407A" w14:paraId="7C49E556" w14:textId="77777777" w:rsidTr="00AB59BD">
        <w:tc>
          <w:tcPr>
            <w:tcW w:w="2290" w:type="dxa"/>
          </w:tcPr>
          <w:p w14:paraId="5137420F" w14:textId="77777777" w:rsidR="00AB59BD" w:rsidRPr="0084407A" w:rsidRDefault="00AB59BD" w:rsidP="00F87C4A">
            <w:pPr>
              <w:rPr>
                <w:b/>
                <w:sz w:val="20"/>
                <w:szCs w:val="20"/>
              </w:rPr>
            </w:pPr>
            <w:r w:rsidRPr="0084407A">
              <w:rPr>
                <w:b/>
                <w:sz w:val="20"/>
                <w:szCs w:val="20"/>
              </w:rPr>
              <w:t>EKII</w:t>
            </w:r>
          </w:p>
        </w:tc>
        <w:tc>
          <w:tcPr>
            <w:tcW w:w="12336" w:type="dxa"/>
          </w:tcPr>
          <w:p w14:paraId="4FEE1935" w14:textId="77777777" w:rsidR="00AB59BD" w:rsidRPr="0084407A" w:rsidRDefault="00AB59BD" w:rsidP="00F87C4A">
            <w:pPr>
              <w:rPr>
                <w:sz w:val="20"/>
                <w:szCs w:val="20"/>
              </w:rPr>
            </w:pPr>
            <w:r w:rsidRPr="0084407A">
              <w:rPr>
                <w:sz w:val="20"/>
                <w:szCs w:val="20"/>
              </w:rPr>
              <w:t>Emisijas kvotu izsolīšanas instruments (turpmāk tekstā arī – finanšu instruments)</w:t>
            </w:r>
          </w:p>
        </w:tc>
      </w:tr>
      <w:tr w:rsidR="00AB59BD" w:rsidRPr="0084407A" w14:paraId="35574A43" w14:textId="77777777" w:rsidTr="00AB59BD">
        <w:tc>
          <w:tcPr>
            <w:tcW w:w="2290" w:type="dxa"/>
          </w:tcPr>
          <w:p w14:paraId="39F00157" w14:textId="77777777" w:rsidR="00AB59BD" w:rsidRPr="0084407A" w:rsidRDefault="00AB59BD" w:rsidP="00F87C4A">
            <w:pPr>
              <w:rPr>
                <w:b/>
                <w:sz w:val="20"/>
                <w:szCs w:val="20"/>
              </w:rPr>
            </w:pPr>
            <w:r w:rsidRPr="0084407A">
              <w:rPr>
                <w:b/>
                <w:sz w:val="20"/>
                <w:szCs w:val="20"/>
              </w:rPr>
              <w:t>MK</w:t>
            </w:r>
          </w:p>
        </w:tc>
        <w:tc>
          <w:tcPr>
            <w:tcW w:w="12336" w:type="dxa"/>
          </w:tcPr>
          <w:p w14:paraId="47702C10" w14:textId="77777777" w:rsidR="00AB59BD" w:rsidRPr="0084407A" w:rsidRDefault="00AB59BD" w:rsidP="00F87C4A">
            <w:pPr>
              <w:rPr>
                <w:sz w:val="20"/>
                <w:szCs w:val="20"/>
              </w:rPr>
            </w:pPr>
            <w:r w:rsidRPr="0084407A">
              <w:rPr>
                <w:sz w:val="20"/>
                <w:szCs w:val="20"/>
              </w:rPr>
              <w:t>Ministru kabinets</w:t>
            </w:r>
          </w:p>
        </w:tc>
      </w:tr>
      <w:tr w:rsidR="00AB59BD" w:rsidRPr="0084407A" w14:paraId="0941F568" w14:textId="77777777" w:rsidTr="00AB59BD">
        <w:tc>
          <w:tcPr>
            <w:tcW w:w="2290" w:type="dxa"/>
          </w:tcPr>
          <w:p w14:paraId="70C8CE1E" w14:textId="1673CA6E" w:rsidR="00AB59BD" w:rsidRPr="0084407A" w:rsidRDefault="00AB59BD" w:rsidP="00F87C4A">
            <w:pPr>
              <w:rPr>
                <w:b/>
                <w:sz w:val="20"/>
                <w:szCs w:val="20"/>
              </w:rPr>
            </w:pPr>
            <w:r w:rsidRPr="0084407A">
              <w:rPr>
                <w:b/>
                <w:sz w:val="20"/>
                <w:szCs w:val="20"/>
              </w:rPr>
              <w:t>MK noteikumi Nr.</w:t>
            </w:r>
            <w:r w:rsidR="00800BCA" w:rsidRPr="0084407A">
              <w:rPr>
                <w:b/>
                <w:sz w:val="20"/>
                <w:szCs w:val="20"/>
              </w:rPr>
              <w:t xml:space="preserve"> </w:t>
            </w:r>
            <w:r w:rsidR="00C53F1A" w:rsidRPr="0084407A">
              <w:rPr>
                <w:b/>
                <w:sz w:val="20"/>
                <w:szCs w:val="20"/>
              </w:rPr>
              <w:t>454</w:t>
            </w:r>
          </w:p>
        </w:tc>
        <w:tc>
          <w:tcPr>
            <w:tcW w:w="12336" w:type="dxa"/>
          </w:tcPr>
          <w:p w14:paraId="629856AC" w14:textId="4CA11F62" w:rsidR="00AB59BD" w:rsidRPr="0084407A" w:rsidRDefault="00AB59BD" w:rsidP="00AB59BD">
            <w:pPr>
              <w:rPr>
                <w:sz w:val="20"/>
                <w:szCs w:val="20"/>
              </w:rPr>
            </w:pPr>
            <w:r w:rsidRPr="0084407A">
              <w:rPr>
                <w:sz w:val="20"/>
                <w:szCs w:val="20"/>
              </w:rPr>
              <w:t>Ministru kabineta 20</w:t>
            </w:r>
            <w:r w:rsidR="00C53F1A" w:rsidRPr="0084407A">
              <w:rPr>
                <w:sz w:val="20"/>
                <w:szCs w:val="20"/>
              </w:rPr>
              <w:t>22</w:t>
            </w:r>
            <w:r w:rsidRPr="0084407A">
              <w:rPr>
                <w:sz w:val="20"/>
                <w:szCs w:val="20"/>
              </w:rPr>
              <w:t>.</w:t>
            </w:r>
            <w:r w:rsidR="00800BCA" w:rsidRPr="0084407A">
              <w:rPr>
                <w:sz w:val="20"/>
                <w:szCs w:val="20"/>
              </w:rPr>
              <w:t xml:space="preserve"> </w:t>
            </w:r>
            <w:r w:rsidRPr="0084407A">
              <w:rPr>
                <w:sz w:val="20"/>
                <w:szCs w:val="20"/>
              </w:rPr>
              <w:t>gada 1</w:t>
            </w:r>
            <w:r w:rsidR="00C53F1A" w:rsidRPr="0084407A">
              <w:rPr>
                <w:sz w:val="20"/>
                <w:szCs w:val="20"/>
              </w:rPr>
              <w:t>4</w:t>
            </w:r>
            <w:r w:rsidRPr="0084407A">
              <w:rPr>
                <w:sz w:val="20"/>
                <w:szCs w:val="20"/>
              </w:rPr>
              <w:t>.</w:t>
            </w:r>
            <w:r w:rsidR="00800BCA" w:rsidRPr="0084407A">
              <w:rPr>
                <w:sz w:val="20"/>
                <w:szCs w:val="20"/>
              </w:rPr>
              <w:t xml:space="preserve"> </w:t>
            </w:r>
            <w:r w:rsidR="00C53F1A" w:rsidRPr="0084407A">
              <w:rPr>
                <w:sz w:val="20"/>
                <w:szCs w:val="20"/>
              </w:rPr>
              <w:t>jūlija</w:t>
            </w:r>
            <w:r w:rsidRPr="0084407A">
              <w:rPr>
                <w:sz w:val="20"/>
                <w:szCs w:val="20"/>
              </w:rPr>
              <w:t xml:space="preserve"> noteikumi Nr</w:t>
            </w:r>
            <w:r w:rsidR="00800BCA" w:rsidRPr="0084407A">
              <w:rPr>
                <w:sz w:val="20"/>
                <w:szCs w:val="20"/>
              </w:rPr>
              <w:t xml:space="preserve"> </w:t>
            </w:r>
            <w:r w:rsidRPr="0084407A">
              <w:rPr>
                <w:sz w:val="20"/>
                <w:szCs w:val="20"/>
              </w:rPr>
              <w:t>.</w:t>
            </w:r>
            <w:r w:rsidR="00C53F1A" w:rsidRPr="0084407A">
              <w:rPr>
                <w:sz w:val="20"/>
                <w:szCs w:val="20"/>
              </w:rPr>
              <w:t>454</w:t>
            </w:r>
            <w:r w:rsidRPr="0084407A">
              <w:rPr>
                <w:sz w:val="20"/>
                <w:szCs w:val="20"/>
              </w:rPr>
              <w:t xml:space="preserve"> </w:t>
            </w:r>
            <w:r w:rsidR="00800BCA" w:rsidRPr="0084407A">
              <w:rPr>
                <w:sz w:val="20"/>
                <w:szCs w:val="20"/>
              </w:rPr>
              <w:t>“</w:t>
            </w:r>
            <w:r w:rsidRPr="0084407A">
              <w:rPr>
                <w:sz w:val="20"/>
                <w:szCs w:val="20"/>
              </w:rPr>
              <w:t xml:space="preserve">Emisijas kvotu izsolīšanas instrumenta finansēto projektu atklāta konkursa </w:t>
            </w:r>
            <w:r w:rsidR="00800BCA" w:rsidRPr="0084407A">
              <w:rPr>
                <w:sz w:val="20"/>
                <w:szCs w:val="20"/>
              </w:rPr>
              <w:t>“</w:t>
            </w:r>
            <w:r w:rsidR="00C53F1A" w:rsidRPr="0084407A">
              <w:rPr>
                <w:sz w:val="20"/>
                <w:szCs w:val="20"/>
              </w:rPr>
              <w:t>Siltumnīcefekta gāzu emisiju samazināšana pašvaldību publisko teritoriju apgaismojuma infrastruktūrā</w:t>
            </w:r>
            <w:r w:rsidRPr="0084407A">
              <w:rPr>
                <w:sz w:val="20"/>
                <w:szCs w:val="20"/>
              </w:rPr>
              <w:t xml:space="preserve">” nolikums”. </w:t>
            </w:r>
            <w:hyperlink r:id="rId8" w:history="1">
              <w:r w:rsidR="00C53F1A" w:rsidRPr="0084407A">
                <w:rPr>
                  <w:rStyle w:val="Hyperlink"/>
                  <w:sz w:val="20"/>
                  <w:szCs w:val="20"/>
                </w:rPr>
                <w:t>http://likumi.lv/ta/id/334008</w:t>
              </w:r>
            </w:hyperlink>
            <w:r w:rsidRPr="0084407A">
              <w:rPr>
                <w:sz w:val="20"/>
                <w:szCs w:val="20"/>
              </w:rPr>
              <w:t xml:space="preserve"> </w:t>
            </w:r>
          </w:p>
        </w:tc>
      </w:tr>
      <w:tr w:rsidR="00AB59BD" w:rsidRPr="0084407A" w14:paraId="1460E9AD" w14:textId="77777777" w:rsidTr="00415BE0">
        <w:tc>
          <w:tcPr>
            <w:tcW w:w="2290" w:type="dxa"/>
          </w:tcPr>
          <w:p w14:paraId="42703FFE" w14:textId="77777777" w:rsidR="00AB59BD" w:rsidRPr="0084407A" w:rsidRDefault="00AB59BD" w:rsidP="00415BE0">
            <w:pPr>
              <w:rPr>
                <w:b/>
                <w:sz w:val="20"/>
                <w:szCs w:val="20"/>
              </w:rPr>
            </w:pPr>
            <w:r w:rsidRPr="0084407A">
              <w:rPr>
                <w:b/>
                <w:sz w:val="20"/>
                <w:szCs w:val="20"/>
              </w:rPr>
              <w:t>CO</w:t>
            </w:r>
            <w:r w:rsidRPr="0084407A">
              <w:rPr>
                <w:b/>
                <w:sz w:val="20"/>
                <w:szCs w:val="20"/>
                <w:vertAlign w:val="subscript"/>
              </w:rPr>
              <w:t>2</w:t>
            </w:r>
          </w:p>
        </w:tc>
        <w:tc>
          <w:tcPr>
            <w:tcW w:w="12336" w:type="dxa"/>
          </w:tcPr>
          <w:p w14:paraId="6753C95D" w14:textId="77777777" w:rsidR="00AB59BD" w:rsidRPr="0084407A" w:rsidRDefault="00AB59BD" w:rsidP="00415BE0">
            <w:pPr>
              <w:rPr>
                <w:sz w:val="20"/>
                <w:szCs w:val="20"/>
              </w:rPr>
            </w:pPr>
            <w:r w:rsidRPr="0084407A">
              <w:rPr>
                <w:sz w:val="20"/>
                <w:szCs w:val="20"/>
              </w:rPr>
              <w:t>Oglekļa dioksīds</w:t>
            </w:r>
          </w:p>
        </w:tc>
      </w:tr>
      <w:tr w:rsidR="00AB59BD" w:rsidRPr="0084407A" w14:paraId="51FB5DEC" w14:textId="77777777" w:rsidTr="00AB59BD">
        <w:tc>
          <w:tcPr>
            <w:tcW w:w="2290" w:type="dxa"/>
          </w:tcPr>
          <w:p w14:paraId="64F1531C" w14:textId="77777777" w:rsidR="00AB59BD" w:rsidRPr="0084407A" w:rsidRDefault="00AB59BD" w:rsidP="00F87C4A">
            <w:pPr>
              <w:rPr>
                <w:b/>
                <w:sz w:val="20"/>
                <w:szCs w:val="20"/>
              </w:rPr>
            </w:pPr>
            <w:r w:rsidRPr="0084407A">
              <w:rPr>
                <w:b/>
                <w:sz w:val="20"/>
                <w:szCs w:val="20"/>
              </w:rPr>
              <w:t>N/A</w:t>
            </w:r>
          </w:p>
        </w:tc>
        <w:tc>
          <w:tcPr>
            <w:tcW w:w="12336" w:type="dxa"/>
          </w:tcPr>
          <w:p w14:paraId="190E3B08" w14:textId="77777777" w:rsidR="00AB59BD" w:rsidRPr="0084407A" w:rsidRDefault="00AB59BD" w:rsidP="00F87C4A">
            <w:pPr>
              <w:rPr>
                <w:sz w:val="20"/>
                <w:szCs w:val="20"/>
              </w:rPr>
            </w:pPr>
            <w:r w:rsidRPr="0084407A">
              <w:rPr>
                <w:sz w:val="20"/>
                <w:szCs w:val="20"/>
              </w:rPr>
              <w:t>Nav attiecināms</w:t>
            </w:r>
          </w:p>
        </w:tc>
      </w:tr>
    </w:tbl>
    <w:p w14:paraId="334F1388" w14:textId="77777777" w:rsidR="00AB59BD" w:rsidRPr="0084407A" w:rsidRDefault="00AB59BD" w:rsidP="00AB59BD"/>
    <w:tbl>
      <w:tblPr>
        <w:tblStyle w:val="TableGrid"/>
        <w:tblW w:w="5000" w:type="pct"/>
        <w:tblCellMar>
          <w:left w:w="28" w:type="dxa"/>
          <w:right w:w="28" w:type="dxa"/>
        </w:tblCellMar>
        <w:tblLook w:val="04A0" w:firstRow="1" w:lastRow="0" w:firstColumn="1" w:lastColumn="0" w:noHBand="0" w:noVBand="1"/>
      </w:tblPr>
      <w:tblGrid>
        <w:gridCol w:w="822"/>
        <w:gridCol w:w="6719"/>
        <w:gridCol w:w="7085"/>
      </w:tblGrid>
      <w:tr w:rsidR="00AB59BD" w:rsidRPr="0084407A" w14:paraId="7DE983CE" w14:textId="77777777" w:rsidTr="009A3EEA">
        <w:trPr>
          <w:cantSplit/>
          <w:tblHeader/>
        </w:trPr>
        <w:tc>
          <w:tcPr>
            <w:tcW w:w="822" w:type="dxa"/>
            <w:shd w:val="clear" w:color="auto" w:fill="C2D69B" w:themeFill="accent3" w:themeFillTint="99"/>
            <w:vAlign w:val="center"/>
          </w:tcPr>
          <w:p w14:paraId="7BAD185A" w14:textId="77777777" w:rsidR="00AB59BD" w:rsidRPr="0084407A" w:rsidRDefault="00AB59BD" w:rsidP="00AB59BD">
            <w:pPr>
              <w:jc w:val="center"/>
              <w:rPr>
                <w:rFonts w:ascii="Times New Roman" w:hAnsi="Times New Roman"/>
                <w:b/>
                <w:sz w:val="22"/>
              </w:rPr>
            </w:pPr>
            <w:proofErr w:type="spellStart"/>
            <w:r w:rsidRPr="0084407A">
              <w:rPr>
                <w:rFonts w:ascii="Times New Roman" w:hAnsi="Times New Roman"/>
                <w:b/>
                <w:sz w:val="22"/>
              </w:rPr>
              <w:t>Nr.p.k</w:t>
            </w:r>
            <w:proofErr w:type="spellEnd"/>
            <w:r w:rsidRPr="0084407A">
              <w:rPr>
                <w:rFonts w:ascii="Times New Roman" w:hAnsi="Times New Roman"/>
                <w:b/>
                <w:sz w:val="22"/>
              </w:rPr>
              <w:t>.</w:t>
            </w:r>
          </w:p>
        </w:tc>
        <w:tc>
          <w:tcPr>
            <w:tcW w:w="6719" w:type="dxa"/>
            <w:shd w:val="clear" w:color="auto" w:fill="C2D69B" w:themeFill="accent3" w:themeFillTint="99"/>
            <w:vAlign w:val="center"/>
          </w:tcPr>
          <w:p w14:paraId="3A8C2DA1" w14:textId="77777777" w:rsidR="00AB59BD" w:rsidRPr="0084407A" w:rsidRDefault="00AB59BD" w:rsidP="00F87C4A">
            <w:pPr>
              <w:rPr>
                <w:rFonts w:ascii="Times New Roman" w:hAnsi="Times New Roman"/>
                <w:b/>
                <w:sz w:val="22"/>
              </w:rPr>
            </w:pPr>
            <w:r w:rsidRPr="0084407A">
              <w:rPr>
                <w:rFonts w:ascii="Times New Roman" w:hAnsi="Times New Roman"/>
                <w:b/>
                <w:sz w:val="22"/>
              </w:rPr>
              <w:t>Jautājums</w:t>
            </w:r>
          </w:p>
        </w:tc>
        <w:tc>
          <w:tcPr>
            <w:tcW w:w="7085" w:type="dxa"/>
            <w:shd w:val="clear" w:color="auto" w:fill="C2D69B" w:themeFill="accent3" w:themeFillTint="99"/>
            <w:vAlign w:val="center"/>
          </w:tcPr>
          <w:p w14:paraId="2EBF59EC" w14:textId="77777777" w:rsidR="00AB59BD" w:rsidRPr="0084407A" w:rsidRDefault="00AB59BD" w:rsidP="00F87C4A">
            <w:pPr>
              <w:rPr>
                <w:rFonts w:ascii="Times New Roman" w:hAnsi="Times New Roman"/>
                <w:b/>
                <w:sz w:val="22"/>
              </w:rPr>
            </w:pPr>
            <w:r w:rsidRPr="0084407A">
              <w:rPr>
                <w:rFonts w:ascii="Times New Roman" w:hAnsi="Times New Roman"/>
                <w:b/>
                <w:sz w:val="22"/>
              </w:rPr>
              <w:t>Atbilde</w:t>
            </w:r>
          </w:p>
        </w:tc>
      </w:tr>
      <w:tr w:rsidR="00AB59BD" w:rsidRPr="0084407A" w14:paraId="5914A9C3" w14:textId="77777777" w:rsidTr="009A3EEA">
        <w:trPr>
          <w:cantSplit/>
        </w:trPr>
        <w:tc>
          <w:tcPr>
            <w:tcW w:w="822" w:type="dxa"/>
          </w:tcPr>
          <w:p w14:paraId="02726436" w14:textId="77777777" w:rsidR="00AB59BD" w:rsidRPr="0084407A" w:rsidRDefault="00AB59BD" w:rsidP="00AB59BD">
            <w:pPr>
              <w:jc w:val="center"/>
              <w:rPr>
                <w:rFonts w:ascii="Times New Roman" w:hAnsi="Times New Roman"/>
                <w:sz w:val="22"/>
              </w:rPr>
            </w:pPr>
            <w:bookmarkStart w:id="0" w:name="_Hlk111461874"/>
            <w:r w:rsidRPr="0084407A">
              <w:rPr>
                <w:rFonts w:ascii="Times New Roman" w:hAnsi="Times New Roman"/>
                <w:sz w:val="22"/>
              </w:rPr>
              <w:t>1.</w:t>
            </w:r>
          </w:p>
        </w:tc>
        <w:tc>
          <w:tcPr>
            <w:tcW w:w="6719" w:type="dxa"/>
          </w:tcPr>
          <w:p w14:paraId="6E334A81" w14:textId="4BCE2B63" w:rsidR="00800BCA" w:rsidRPr="0084407A" w:rsidRDefault="00B609C4" w:rsidP="00800BCA">
            <w:pPr>
              <w:jc w:val="both"/>
              <w:rPr>
                <w:rFonts w:ascii="Times New Roman" w:hAnsi="Times New Roman"/>
                <w:sz w:val="22"/>
              </w:rPr>
            </w:pPr>
            <w:r w:rsidRPr="0084407A">
              <w:rPr>
                <w:rFonts w:ascii="Times New Roman" w:hAnsi="Times New Roman"/>
                <w:sz w:val="22"/>
              </w:rPr>
              <w:t>Noteikumu 11. punktā ir norādīts, ka Projekta iesniedzējs nevar pretendēt uz finanšu instrumenta finansējumu konkursa ietvaros, ja: (...) 11.2. projekta iesniegumā plānotās attiecināmās izmaksas tiek vai ir tikušas finansētas citu finansējuma programmu vai individuālā atbalsta projektu ietvaros no citiem finanšu instrumentiem, tai skaitā no Eiropas Savienības, ārvalstu finanšu palīdzības vai nacionālā publiskā finansējuma līdzekļiem. Sakiet, lūdzu, vai šim ierobežojumam ir kāds laika termiņš? Piemēram, ES fondu līdzfinansēts projekts, kura ietvaros daudzus gadus atpakaļ tikusi ierīkota apgaismojuma infrastruktūra un kuram beidzies uzraudzības periods, vai šādā infrastruktūrā var īstenot EKII projektu?</w:t>
            </w:r>
          </w:p>
        </w:tc>
        <w:tc>
          <w:tcPr>
            <w:tcW w:w="7085" w:type="dxa"/>
          </w:tcPr>
          <w:p w14:paraId="3CAB294B" w14:textId="77777777" w:rsidR="00B609C4" w:rsidRPr="0084407A" w:rsidRDefault="00B609C4" w:rsidP="00D91EE4">
            <w:pPr>
              <w:jc w:val="both"/>
              <w:rPr>
                <w:rFonts w:ascii="Times New Roman" w:hAnsi="Times New Roman"/>
                <w:sz w:val="22"/>
              </w:rPr>
            </w:pPr>
            <w:r w:rsidRPr="0084407A">
              <w:rPr>
                <w:rFonts w:ascii="Times New Roman" w:hAnsi="Times New Roman"/>
                <w:sz w:val="22"/>
              </w:rPr>
              <w:t xml:space="preserve">MK noteikumu Nr. 454 11.2. apakšpunkts nosaka tikai, ka projekta iesniedzējs nevar pretendēt uz EKII finansējumu, ja projekta iesniegumā </w:t>
            </w:r>
            <w:r w:rsidRPr="0084407A">
              <w:rPr>
                <w:rFonts w:ascii="Times New Roman" w:hAnsi="Times New Roman"/>
                <w:b/>
                <w:bCs/>
                <w:sz w:val="22"/>
              </w:rPr>
              <w:t>plānotās attiecināmās izmaksas</w:t>
            </w:r>
            <w:r w:rsidRPr="0084407A">
              <w:rPr>
                <w:rFonts w:ascii="Times New Roman" w:hAnsi="Times New Roman"/>
                <w:sz w:val="22"/>
              </w:rPr>
              <w:t xml:space="preserve"> tiek vai ir tikušas finansētas citu finansējuma programmu vai individuālā atbalsta projektu ietvaros no citiem finanšu instrumentiem. </w:t>
            </w:r>
          </w:p>
          <w:p w14:paraId="40BE216A" w14:textId="28040E87" w:rsidR="00AB59BD" w:rsidRPr="0084407A" w:rsidRDefault="00B609C4" w:rsidP="00D91EE4">
            <w:pPr>
              <w:jc w:val="both"/>
              <w:rPr>
                <w:rFonts w:ascii="Times New Roman" w:hAnsi="Times New Roman"/>
                <w:sz w:val="22"/>
              </w:rPr>
            </w:pPr>
            <w:r w:rsidRPr="0084407A">
              <w:rPr>
                <w:rFonts w:ascii="Times New Roman" w:hAnsi="Times New Roman"/>
                <w:sz w:val="22"/>
              </w:rPr>
              <w:t>Papildus ieguldījumi ar ES fondu līdzfinansējumu ierīkotā apgaismojuma infrastruktūra ir attiecināmas izmaksas, vienlaikus aicinām pārliecināties vai netiek pārkāpti iepriekš noslēgtie līgumi par ES fondu līdzfinansējuma saņemšanu.</w:t>
            </w:r>
          </w:p>
        </w:tc>
      </w:tr>
      <w:tr w:rsidR="00AB59BD" w:rsidRPr="0084407A" w14:paraId="7DC3729B" w14:textId="77777777" w:rsidTr="009A3EEA">
        <w:trPr>
          <w:cantSplit/>
        </w:trPr>
        <w:tc>
          <w:tcPr>
            <w:tcW w:w="822" w:type="dxa"/>
          </w:tcPr>
          <w:p w14:paraId="08C177E8" w14:textId="77777777" w:rsidR="00AB59BD" w:rsidRPr="0084407A" w:rsidRDefault="0028039C" w:rsidP="00AB59BD">
            <w:pPr>
              <w:jc w:val="center"/>
              <w:rPr>
                <w:rFonts w:ascii="Times New Roman" w:hAnsi="Times New Roman"/>
                <w:sz w:val="22"/>
              </w:rPr>
            </w:pPr>
            <w:r w:rsidRPr="0084407A">
              <w:rPr>
                <w:rFonts w:ascii="Times New Roman" w:hAnsi="Times New Roman"/>
                <w:sz w:val="22"/>
              </w:rPr>
              <w:t>2.</w:t>
            </w:r>
          </w:p>
        </w:tc>
        <w:tc>
          <w:tcPr>
            <w:tcW w:w="6719" w:type="dxa"/>
          </w:tcPr>
          <w:p w14:paraId="0121BF80" w14:textId="1D0BEC0B" w:rsidR="00AB59BD" w:rsidRPr="0084407A" w:rsidRDefault="00611B1F" w:rsidP="00B74801">
            <w:pPr>
              <w:jc w:val="both"/>
              <w:rPr>
                <w:rFonts w:ascii="Times New Roman" w:hAnsi="Times New Roman"/>
                <w:sz w:val="22"/>
              </w:rPr>
            </w:pPr>
            <w:r w:rsidRPr="0084407A">
              <w:rPr>
                <w:rFonts w:ascii="Times New Roman" w:hAnsi="Times New Roman"/>
                <w:sz w:val="22"/>
              </w:rPr>
              <w:t>Vai pareizi saprotu, ja apgaismojuma infrastruktūra ir pašvaldības iestādes bilancē, tad projekta iesniedzējs nevar būt pašvaldība, bet projekta iesniegums jāsniedz pašai iestādei?</w:t>
            </w:r>
          </w:p>
        </w:tc>
        <w:tc>
          <w:tcPr>
            <w:tcW w:w="7085" w:type="dxa"/>
          </w:tcPr>
          <w:p w14:paraId="06BC382B" w14:textId="68C6E185" w:rsidR="00AB59BD" w:rsidRPr="0084407A" w:rsidRDefault="00611B1F" w:rsidP="00C70828">
            <w:pPr>
              <w:jc w:val="both"/>
              <w:rPr>
                <w:rFonts w:ascii="Times New Roman" w:hAnsi="Times New Roman"/>
                <w:sz w:val="22"/>
              </w:rPr>
            </w:pPr>
            <w:r w:rsidRPr="0084407A">
              <w:rPr>
                <w:rFonts w:ascii="Times New Roman" w:hAnsi="Times New Roman"/>
                <w:sz w:val="22"/>
              </w:rPr>
              <w:t>Ja pašvaldībā ir pieņemts lēmums, ka turpmāk apgaismojuma infrastruktūru uzskaitīs tieši pašvaldības bilancē un pašvaldības iestādei netiks deleģētas vairāk funkcijas par publisko apgaismojumu, tad projekta iesniegumu var iesniegt arī pašvaldība.</w:t>
            </w:r>
          </w:p>
        </w:tc>
      </w:tr>
      <w:bookmarkEnd w:id="0"/>
      <w:tr w:rsidR="00B74801" w:rsidRPr="0084407A" w14:paraId="5E5DD57D" w14:textId="77777777" w:rsidTr="009A3EEA">
        <w:trPr>
          <w:cantSplit/>
        </w:trPr>
        <w:tc>
          <w:tcPr>
            <w:tcW w:w="822" w:type="dxa"/>
          </w:tcPr>
          <w:p w14:paraId="4E10975C" w14:textId="77777777" w:rsidR="00B74801" w:rsidRPr="0084407A" w:rsidRDefault="00B74801" w:rsidP="00AB59BD">
            <w:pPr>
              <w:jc w:val="center"/>
              <w:rPr>
                <w:rFonts w:ascii="Times New Roman" w:hAnsi="Times New Roman"/>
                <w:sz w:val="22"/>
              </w:rPr>
            </w:pPr>
            <w:r w:rsidRPr="0084407A">
              <w:rPr>
                <w:rFonts w:ascii="Times New Roman" w:hAnsi="Times New Roman"/>
                <w:sz w:val="22"/>
              </w:rPr>
              <w:lastRenderedPageBreak/>
              <w:t>3.</w:t>
            </w:r>
          </w:p>
        </w:tc>
        <w:tc>
          <w:tcPr>
            <w:tcW w:w="6719" w:type="dxa"/>
          </w:tcPr>
          <w:p w14:paraId="7B09D4FE" w14:textId="7D13FDDC" w:rsidR="003601D2" w:rsidRPr="0084407A" w:rsidRDefault="003601D2" w:rsidP="003601D2">
            <w:pPr>
              <w:jc w:val="both"/>
              <w:rPr>
                <w:rFonts w:ascii="Times New Roman" w:hAnsi="Times New Roman"/>
                <w:sz w:val="22"/>
              </w:rPr>
            </w:pPr>
            <w:r w:rsidRPr="0084407A">
              <w:rPr>
                <w:rFonts w:ascii="Times New Roman" w:hAnsi="Times New Roman"/>
                <w:sz w:val="22"/>
              </w:rPr>
              <w:t>MK noteikumu Nr. 454 30.3. punkta apakšpunktos norādīts, kas tiek ietverts tehniskajā raksturojumā (tajā skaitā katras ielas vai publiskās teritorijas apraksts).</w:t>
            </w:r>
          </w:p>
          <w:p w14:paraId="179DF136" w14:textId="77777777" w:rsidR="003601D2" w:rsidRPr="0084407A" w:rsidRDefault="003601D2" w:rsidP="003601D2">
            <w:pPr>
              <w:jc w:val="both"/>
              <w:rPr>
                <w:rFonts w:ascii="Times New Roman" w:hAnsi="Times New Roman"/>
                <w:sz w:val="22"/>
              </w:rPr>
            </w:pPr>
            <w:r w:rsidRPr="0084407A">
              <w:rPr>
                <w:rFonts w:ascii="Times New Roman" w:hAnsi="Times New Roman"/>
                <w:sz w:val="22"/>
              </w:rPr>
              <w:t>Savukārt, vadlīnijās projektu iesniedzējiem ir norādīts, ka projekta tehniskajam raksturojumam nepieciešams pievienot ģeogrāfiski piesaistītu teritorijas rasējumu (vismaz mērogā 1:1000).</w:t>
            </w:r>
          </w:p>
          <w:p w14:paraId="6D8B8DFE" w14:textId="213B5AB8" w:rsidR="00B74801" w:rsidRPr="0084407A" w:rsidRDefault="003601D2" w:rsidP="003601D2">
            <w:pPr>
              <w:jc w:val="both"/>
              <w:rPr>
                <w:rFonts w:ascii="Times New Roman" w:hAnsi="Times New Roman"/>
                <w:sz w:val="22"/>
              </w:rPr>
            </w:pPr>
            <w:r w:rsidRPr="0084407A">
              <w:rPr>
                <w:rFonts w:ascii="Times New Roman" w:hAnsi="Times New Roman"/>
                <w:sz w:val="22"/>
              </w:rPr>
              <w:t xml:space="preserve">Lūgums sniegts skaidrojumu, vai tiešām jāpievieno arī ģeogrāfiski piesaistītu teritorijas rasējumu (vismaz mērogā 1:1000), kurā norādīti izvietojamie gaismekļi, to stiprinājumi augstumi, savstarpējie attālumi, jaudas un tipi, balstu augstums un attālums starp balstiem, tos savienojošās kabeļu līnijas un cita raksturojošā informācija. Pievienotajam kartogrāfiskajam materiālam jeb profila shēmai jānodrošina iespēja novērtēt plānoto projekta aktivitāšu ģeogrāfisko novietojumu projekta teritorijā, tāpēc ieteicams norādīt un iekļaut ielu, laukumu nosaukumus, ja iespējams arī māju nosaukumus, Nr, </w:t>
            </w:r>
            <w:r w:rsidRPr="0084407A">
              <w:rPr>
                <w:rFonts w:ascii="Tahoma" w:hAnsi="Tahoma" w:cs="Tahoma"/>
                <w:sz w:val="22"/>
              </w:rPr>
              <w:t>﻿﻿</w:t>
            </w:r>
            <w:r w:rsidRPr="0084407A">
              <w:rPr>
                <w:rFonts w:ascii="Times New Roman" w:hAnsi="Times New Roman"/>
                <w:sz w:val="22"/>
              </w:rPr>
              <w:t>kā norādīts vadlīnijās.</w:t>
            </w:r>
          </w:p>
        </w:tc>
        <w:tc>
          <w:tcPr>
            <w:tcW w:w="7085" w:type="dxa"/>
          </w:tcPr>
          <w:p w14:paraId="18F374F0" w14:textId="6D170DFF" w:rsidR="00965D10" w:rsidRPr="0084407A" w:rsidRDefault="00965D10" w:rsidP="003B54F6">
            <w:pPr>
              <w:jc w:val="both"/>
              <w:rPr>
                <w:rFonts w:ascii="Times New Roman" w:hAnsi="Times New Roman"/>
                <w:sz w:val="22"/>
              </w:rPr>
            </w:pPr>
            <w:r w:rsidRPr="0084407A">
              <w:rPr>
                <w:rFonts w:ascii="Times New Roman" w:hAnsi="Times New Roman"/>
                <w:sz w:val="22"/>
              </w:rPr>
              <w:t xml:space="preserve">Norādām, ka iesniedzot aprakstu tajā par katru ielu vai publiskās teritoriju, kurā paredzēts īstenot projektu,  būtu jānorāda ielu vai teritoriju platumu, brauktuvju skaits, </w:t>
            </w:r>
            <w:r w:rsidRPr="0084407A">
              <w:rPr>
                <w:rFonts w:ascii="Times New Roman" w:hAnsi="Times New Roman"/>
                <w:b/>
                <w:bCs/>
                <w:sz w:val="22"/>
              </w:rPr>
              <w:t>ielu apgaismojuma balstu attālums no brauktuves</w:t>
            </w:r>
            <w:r w:rsidRPr="0084407A">
              <w:rPr>
                <w:rFonts w:ascii="Times New Roman" w:hAnsi="Times New Roman"/>
                <w:sz w:val="22"/>
              </w:rPr>
              <w:t xml:space="preserve">, ietves platums abās ielas pusēs, zaļās zonas platums abās ielas puses, </w:t>
            </w:r>
            <w:r w:rsidRPr="0084407A">
              <w:rPr>
                <w:rFonts w:ascii="Times New Roman" w:hAnsi="Times New Roman"/>
                <w:b/>
                <w:bCs/>
                <w:sz w:val="22"/>
              </w:rPr>
              <w:t>gaismekļu augstums virs zemes</w:t>
            </w:r>
            <w:r w:rsidRPr="0084407A">
              <w:rPr>
                <w:rFonts w:ascii="Times New Roman" w:hAnsi="Times New Roman"/>
                <w:sz w:val="22"/>
              </w:rPr>
              <w:t xml:space="preserve">, </w:t>
            </w:r>
            <w:r w:rsidRPr="0084407A">
              <w:rPr>
                <w:rFonts w:ascii="Times New Roman" w:hAnsi="Times New Roman"/>
                <w:b/>
                <w:bCs/>
                <w:sz w:val="22"/>
              </w:rPr>
              <w:t>konsoles tipi un parametri</w:t>
            </w:r>
            <w:r w:rsidRPr="0084407A">
              <w:rPr>
                <w:rFonts w:ascii="Times New Roman" w:hAnsi="Times New Roman"/>
                <w:sz w:val="22"/>
              </w:rPr>
              <w:t xml:space="preserve">, </w:t>
            </w:r>
            <w:r w:rsidRPr="0084407A">
              <w:rPr>
                <w:rFonts w:ascii="Times New Roman" w:hAnsi="Times New Roman"/>
                <w:b/>
                <w:bCs/>
                <w:sz w:val="22"/>
              </w:rPr>
              <w:t>attālumi starp esošajiem balstiem</w:t>
            </w:r>
            <w:r w:rsidRPr="0084407A">
              <w:rPr>
                <w:rFonts w:ascii="Times New Roman" w:hAnsi="Times New Roman"/>
                <w:sz w:val="22"/>
              </w:rPr>
              <w:t xml:space="preserve">, </w:t>
            </w:r>
            <w:r w:rsidRPr="0084407A">
              <w:rPr>
                <w:rFonts w:ascii="Times New Roman" w:hAnsi="Times New Roman"/>
                <w:b/>
                <w:bCs/>
                <w:sz w:val="22"/>
              </w:rPr>
              <w:t>trošu izvietojumi un garumi</w:t>
            </w:r>
            <w:r w:rsidRPr="0084407A">
              <w:rPr>
                <w:rFonts w:ascii="Times New Roman" w:hAnsi="Times New Roman"/>
                <w:sz w:val="22"/>
              </w:rPr>
              <w:t xml:space="preserve">, </w:t>
            </w:r>
            <w:r w:rsidRPr="0084407A">
              <w:rPr>
                <w:rFonts w:ascii="Times New Roman" w:hAnsi="Times New Roman"/>
                <w:b/>
                <w:bCs/>
                <w:sz w:val="22"/>
              </w:rPr>
              <w:t>gaismekļu stiprinājum</w:t>
            </w:r>
            <w:r w:rsidR="00C40E05" w:rsidRPr="0084407A">
              <w:rPr>
                <w:rFonts w:ascii="Times New Roman" w:hAnsi="Times New Roman"/>
                <w:b/>
                <w:bCs/>
                <w:sz w:val="22"/>
              </w:rPr>
              <w:t>i</w:t>
            </w:r>
            <w:r w:rsidRPr="0084407A">
              <w:rPr>
                <w:rFonts w:ascii="Times New Roman" w:hAnsi="Times New Roman"/>
                <w:b/>
                <w:bCs/>
                <w:sz w:val="22"/>
              </w:rPr>
              <w:t xml:space="preserve"> ēku sienās, to augstum</w:t>
            </w:r>
            <w:r w:rsidR="00C40E05" w:rsidRPr="0084407A">
              <w:rPr>
                <w:rFonts w:ascii="Times New Roman" w:hAnsi="Times New Roman"/>
                <w:b/>
                <w:bCs/>
                <w:sz w:val="22"/>
              </w:rPr>
              <w:t>i</w:t>
            </w:r>
            <w:r w:rsidRPr="0084407A">
              <w:rPr>
                <w:rFonts w:ascii="Times New Roman" w:hAnsi="Times New Roman"/>
                <w:b/>
                <w:bCs/>
                <w:sz w:val="22"/>
              </w:rPr>
              <w:t xml:space="preserve"> un savstarpēj</w:t>
            </w:r>
            <w:r w:rsidR="00C40E05" w:rsidRPr="0084407A">
              <w:rPr>
                <w:rFonts w:ascii="Times New Roman" w:hAnsi="Times New Roman"/>
                <w:b/>
                <w:bCs/>
                <w:sz w:val="22"/>
              </w:rPr>
              <w:t>ie</w:t>
            </w:r>
            <w:r w:rsidRPr="0084407A">
              <w:rPr>
                <w:rFonts w:ascii="Times New Roman" w:hAnsi="Times New Roman"/>
                <w:b/>
                <w:bCs/>
                <w:sz w:val="22"/>
              </w:rPr>
              <w:t xml:space="preserve"> attālum</w:t>
            </w:r>
            <w:r w:rsidR="00C40E05" w:rsidRPr="0084407A">
              <w:rPr>
                <w:rFonts w:ascii="Times New Roman" w:hAnsi="Times New Roman"/>
                <w:b/>
                <w:bCs/>
                <w:sz w:val="22"/>
              </w:rPr>
              <w:t>i</w:t>
            </w:r>
            <w:r w:rsidR="00C40E05" w:rsidRPr="0084407A">
              <w:rPr>
                <w:rFonts w:ascii="Times New Roman" w:hAnsi="Times New Roman"/>
                <w:sz w:val="22"/>
              </w:rPr>
              <w:t>. Uzskatāmāk un vienkāršāk minēto informāciju ir sagatavot grafiskā veidā, taču arī iesniedzot tikai aprakstu tas tiks uzskatīts par atbilstību.</w:t>
            </w:r>
          </w:p>
          <w:p w14:paraId="4D520385" w14:textId="5C1E7ECD" w:rsidR="00B74801" w:rsidRPr="0084407A" w:rsidRDefault="00965D10" w:rsidP="003B54F6">
            <w:pPr>
              <w:jc w:val="both"/>
              <w:rPr>
                <w:rFonts w:ascii="Times New Roman" w:hAnsi="Times New Roman"/>
                <w:sz w:val="22"/>
              </w:rPr>
            </w:pPr>
            <w:r w:rsidRPr="0084407A">
              <w:rPr>
                <w:rFonts w:ascii="Times New Roman" w:hAnsi="Times New Roman"/>
                <w:sz w:val="22"/>
              </w:rPr>
              <w:t xml:space="preserve"> </w:t>
            </w:r>
          </w:p>
        </w:tc>
      </w:tr>
      <w:tr w:rsidR="006A350A" w:rsidRPr="0084407A" w14:paraId="03D015FB" w14:textId="77777777" w:rsidTr="009A3EEA">
        <w:trPr>
          <w:cantSplit/>
        </w:trPr>
        <w:tc>
          <w:tcPr>
            <w:tcW w:w="822" w:type="dxa"/>
          </w:tcPr>
          <w:p w14:paraId="50D403E3" w14:textId="2A4D1198" w:rsidR="006A350A" w:rsidRPr="0084407A" w:rsidRDefault="00630A8B" w:rsidP="00AB59BD">
            <w:pPr>
              <w:jc w:val="center"/>
              <w:rPr>
                <w:rFonts w:ascii="Times New Roman" w:hAnsi="Times New Roman"/>
                <w:sz w:val="22"/>
              </w:rPr>
            </w:pPr>
            <w:bookmarkStart w:id="1" w:name="_Hlk111643547"/>
            <w:r w:rsidRPr="0084407A">
              <w:rPr>
                <w:rFonts w:ascii="Times New Roman" w:hAnsi="Times New Roman"/>
                <w:sz w:val="22"/>
              </w:rPr>
              <w:t>4.</w:t>
            </w:r>
          </w:p>
        </w:tc>
        <w:tc>
          <w:tcPr>
            <w:tcW w:w="6719" w:type="dxa"/>
          </w:tcPr>
          <w:p w14:paraId="57EB59A0" w14:textId="77777777" w:rsidR="00B12067" w:rsidRPr="0084407A" w:rsidRDefault="00B12067" w:rsidP="00B12067">
            <w:pPr>
              <w:jc w:val="both"/>
              <w:rPr>
                <w:rFonts w:ascii="Times New Roman" w:hAnsi="Times New Roman"/>
                <w:sz w:val="22"/>
              </w:rPr>
            </w:pPr>
            <w:r w:rsidRPr="0084407A">
              <w:rPr>
                <w:rFonts w:ascii="Times New Roman" w:hAnsi="Times New Roman"/>
                <w:sz w:val="22"/>
              </w:rPr>
              <w:t>MK noteikumos Nr.454 nekas nav minēts par informatīvajiem stendiem un plāksnēm, taču Emisijas kvotu izsolīšanas instrumenta simbolika un tās lietošanas noteikumos minēts, ka “Projekta īstenošanas vietā līdz ar projekta īstenošanas uzsākšanu jāizvieto informācijas stends vai ekspozīcija, un tā eksponējama visu projekta īstenošanas laiku. Pēc projekta pabeigšanas informācijas stends vai ekspozīcija nomaināmi pret pastāvīgu informatīvo plāksni”. Attiecīgi jautājumi:</w:t>
            </w:r>
          </w:p>
          <w:p w14:paraId="7ADA303B" w14:textId="77777777" w:rsidR="00B12067" w:rsidRPr="0084407A" w:rsidRDefault="00B12067" w:rsidP="00B12067">
            <w:pPr>
              <w:jc w:val="both"/>
              <w:rPr>
                <w:rFonts w:ascii="Times New Roman" w:hAnsi="Times New Roman"/>
                <w:sz w:val="22"/>
              </w:rPr>
            </w:pPr>
            <w:r w:rsidRPr="0084407A">
              <w:rPr>
                <w:rFonts w:ascii="Times New Roman" w:hAnsi="Times New Roman"/>
                <w:sz w:val="22"/>
              </w:rPr>
              <w:t>1)</w:t>
            </w:r>
            <w:r w:rsidRPr="0084407A">
              <w:rPr>
                <w:rFonts w:ascii="Times New Roman" w:hAnsi="Times New Roman"/>
                <w:sz w:val="22"/>
              </w:rPr>
              <w:tab/>
              <w:t>Vai stendu un plākšņu izvietošana šī projektu konkursa ietvaros ir obligāta publicitātes prasība?</w:t>
            </w:r>
          </w:p>
          <w:p w14:paraId="1F7930DC" w14:textId="77777777" w:rsidR="00B12067" w:rsidRPr="0084407A" w:rsidRDefault="00B12067" w:rsidP="00B12067">
            <w:pPr>
              <w:jc w:val="both"/>
              <w:rPr>
                <w:rFonts w:ascii="Times New Roman" w:hAnsi="Times New Roman"/>
                <w:sz w:val="22"/>
              </w:rPr>
            </w:pPr>
            <w:r w:rsidRPr="0084407A">
              <w:rPr>
                <w:rFonts w:ascii="Times New Roman" w:hAnsi="Times New Roman"/>
                <w:sz w:val="22"/>
              </w:rPr>
              <w:t>2)</w:t>
            </w:r>
            <w:r w:rsidRPr="0084407A">
              <w:rPr>
                <w:rFonts w:ascii="Times New Roman" w:hAnsi="Times New Roman"/>
                <w:sz w:val="22"/>
              </w:rPr>
              <w:tab/>
              <w:t xml:space="preserve">Vai stendu un plākšņu izvietošana ir uzskatāma par MK noteikumu Nr. 454 apakšpunktos 57.2 un 57.3. minētajiem pasākumiem, kuros informē sabiedrību par projekta aktivitātēm un rezultātiem? </w:t>
            </w:r>
          </w:p>
          <w:p w14:paraId="28DD6D3A" w14:textId="07543148" w:rsidR="006A350A" w:rsidRPr="0084407A" w:rsidRDefault="00B12067" w:rsidP="00B12067">
            <w:pPr>
              <w:jc w:val="both"/>
              <w:rPr>
                <w:rFonts w:ascii="Times New Roman" w:hAnsi="Times New Roman"/>
                <w:sz w:val="22"/>
              </w:rPr>
            </w:pPr>
            <w:r w:rsidRPr="0084407A">
              <w:rPr>
                <w:rFonts w:ascii="Times New Roman" w:hAnsi="Times New Roman"/>
                <w:sz w:val="22"/>
              </w:rPr>
              <w:t>3)</w:t>
            </w:r>
            <w:r w:rsidRPr="0084407A">
              <w:rPr>
                <w:rFonts w:ascii="Times New Roman" w:hAnsi="Times New Roman"/>
                <w:sz w:val="22"/>
              </w:rPr>
              <w:tab/>
              <w:t>Ņemot vērā, ka projekta rezultātā gaismekļu nomaiņa plānota vairākās ielās viena projekta ietvaros, vai stendi un plāksnes izvietojamas katrā ielā, kurā īsteno projektu?</w:t>
            </w:r>
          </w:p>
        </w:tc>
        <w:tc>
          <w:tcPr>
            <w:tcW w:w="7085" w:type="dxa"/>
          </w:tcPr>
          <w:p w14:paraId="655EEFE7" w14:textId="0D48AB0A" w:rsidR="006A350A" w:rsidRPr="0084407A" w:rsidRDefault="00B12067" w:rsidP="00F50428">
            <w:pPr>
              <w:jc w:val="both"/>
              <w:rPr>
                <w:rFonts w:ascii="Times New Roman" w:hAnsi="Times New Roman"/>
                <w:sz w:val="22"/>
              </w:rPr>
            </w:pPr>
            <w:r w:rsidRPr="0084407A">
              <w:rPr>
                <w:rFonts w:ascii="Times New Roman" w:hAnsi="Times New Roman"/>
                <w:sz w:val="22"/>
              </w:rPr>
              <w:t xml:space="preserve">Stends vai ekspozīcija </w:t>
            </w:r>
            <w:r w:rsidRPr="0084407A">
              <w:rPr>
                <w:rFonts w:ascii="Times New Roman" w:hAnsi="Times New Roman"/>
                <w:b/>
                <w:bCs/>
                <w:sz w:val="22"/>
              </w:rPr>
              <w:t>nav obligātā publicitātes prasība</w:t>
            </w:r>
            <w:r w:rsidR="00EF486E" w:rsidRPr="0084407A">
              <w:rPr>
                <w:rFonts w:ascii="Times New Roman" w:hAnsi="Times New Roman"/>
                <w:sz w:val="22"/>
              </w:rPr>
              <w:t>. Obligātie projekta publicitātes pasākumi ir uzskaitīti MK noteikumu Nr.454 77. pantā.</w:t>
            </w:r>
          </w:p>
          <w:p w14:paraId="53454E99" w14:textId="30CE941F" w:rsidR="00EF486E" w:rsidRPr="0084407A" w:rsidRDefault="00EF486E" w:rsidP="00F50428">
            <w:pPr>
              <w:jc w:val="both"/>
              <w:rPr>
                <w:rFonts w:ascii="Times New Roman" w:hAnsi="Times New Roman"/>
                <w:sz w:val="22"/>
              </w:rPr>
            </w:pPr>
            <w:r w:rsidRPr="0084407A">
              <w:rPr>
                <w:rFonts w:ascii="Times New Roman" w:hAnsi="Times New Roman"/>
                <w:sz w:val="22"/>
              </w:rPr>
              <w:t xml:space="preserve">Stendu un plākšņu izvietošana </w:t>
            </w:r>
            <w:r w:rsidR="002F57D6" w:rsidRPr="0084407A">
              <w:rPr>
                <w:rFonts w:ascii="Times New Roman" w:hAnsi="Times New Roman"/>
                <w:sz w:val="22"/>
              </w:rPr>
              <w:t>būtu</w:t>
            </w:r>
            <w:r w:rsidRPr="0084407A">
              <w:rPr>
                <w:rFonts w:ascii="Times New Roman" w:hAnsi="Times New Roman"/>
                <w:sz w:val="22"/>
              </w:rPr>
              <w:t xml:space="preserve"> uzskatāma par MK noteikumu Nr. 454 apakšpunktā 57.4 minēto pasākumu un to skaitu un apjomu finansējuma saņēmējs veic pēc saviem ieskatiem.</w:t>
            </w:r>
          </w:p>
          <w:p w14:paraId="32230477" w14:textId="3FF78B86" w:rsidR="002F57D6" w:rsidRPr="0084407A" w:rsidRDefault="002F57D6" w:rsidP="00F50428">
            <w:pPr>
              <w:jc w:val="both"/>
              <w:rPr>
                <w:rFonts w:ascii="Times New Roman" w:hAnsi="Times New Roman"/>
                <w:sz w:val="22"/>
              </w:rPr>
            </w:pPr>
            <w:r w:rsidRPr="0084407A">
              <w:rPr>
                <w:rFonts w:ascii="Times New Roman" w:hAnsi="Times New Roman"/>
                <w:sz w:val="22"/>
              </w:rPr>
              <w:t>Vienlaikus stends vai plāksne var kalpot kā palīgmateriāls pasākumā, kur finansējuma saņēmējs informē par projekta aktivitātēm un rezultātiem.</w:t>
            </w:r>
          </w:p>
          <w:p w14:paraId="51B40FD4" w14:textId="34D7BB9D" w:rsidR="00EF486E" w:rsidRPr="0084407A" w:rsidRDefault="00EF486E" w:rsidP="00F50428">
            <w:pPr>
              <w:jc w:val="both"/>
              <w:rPr>
                <w:rFonts w:ascii="Times New Roman" w:hAnsi="Times New Roman"/>
                <w:sz w:val="22"/>
              </w:rPr>
            </w:pPr>
          </w:p>
        </w:tc>
      </w:tr>
      <w:tr w:rsidR="006A350A" w:rsidRPr="0084407A" w14:paraId="590F2609" w14:textId="77777777" w:rsidTr="009A3EEA">
        <w:trPr>
          <w:cantSplit/>
        </w:trPr>
        <w:tc>
          <w:tcPr>
            <w:tcW w:w="822" w:type="dxa"/>
          </w:tcPr>
          <w:p w14:paraId="60E7E91E" w14:textId="32F02045" w:rsidR="006A350A" w:rsidRPr="0084407A" w:rsidRDefault="00630A8B" w:rsidP="00AB59BD">
            <w:pPr>
              <w:jc w:val="center"/>
              <w:rPr>
                <w:rFonts w:ascii="Times New Roman" w:hAnsi="Times New Roman"/>
                <w:sz w:val="22"/>
              </w:rPr>
            </w:pPr>
            <w:bookmarkStart w:id="2" w:name="_Hlk112233555"/>
            <w:bookmarkEnd w:id="1"/>
            <w:r w:rsidRPr="0084407A">
              <w:rPr>
                <w:rFonts w:ascii="Times New Roman" w:hAnsi="Times New Roman"/>
                <w:sz w:val="22"/>
              </w:rPr>
              <w:lastRenderedPageBreak/>
              <w:t>5.</w:t>
            </w:r>
          </w:p>
        </w:tc>
        <w:tc>
          <w:tcPr>
            <w:tcW w:w="6719" w:type="dxa"/>
          </w:tcPr>
          <w:p w14:paraId="7DEBB09A" w14:textId="202DB510" w:rsidR="006A350A" w:rsidRPr="0084407A" w:rsidRDefault="00420646" w:rsidP="006A350A">
            <w:pPr>
              <w:jc w:val="both"/>
              <w:rPr>
                <w:rFonts w:ascii="Times New Roman" w:hAnsi="Times New Roman"/>
                <w:sz w:val="22"/>
              </w:rPr>
            </w:pPr>
            <w:r w:rsidRPr="0084407A">
              <w:rPr>
                <w:rFonts w:ascii="Times New Roman" w:hAnsi="Times New Roman"/>
                <w:sz w:val="22"/>
              </w:rPr>
              <w:t>Vēlos precizēt vai obligāta prasība ir sagatavot ielu apgaismojuma simulāciju un aprēķinus DIALUX programmā?</w:t>
            </w:r>
          </w:p>
        </w:tc>
        <w:tc>
          <w:tcPr>
            <w:tcW w:w="7085" w:type="dxa"/>
          </w:tcPr>
          <w:p w14:paraId="00626025" w14:textId="30721DF2" w:rsidR="00241FCA" w:rsidRPr="0084407A" w:rsidRDefault="00420646" w:rsidP="00241FCA">
            <w:pPr>
              <w:jc w:val="both"/>
              <w:rPr>
                <w:rFonts w:ascii="Times New Roman" w:hAnsi="Times New Roman"/>
                <w:sz w:val="22"/>
              </w:rPr>
            </w:pPr>
            <w:r w:rsidRPr="0084407A">
              <w:rPr>
                <w:rFonts w:ascii="Times New Roman" w:hAnsi="Times New Roman"/>
                <w:sz w:val="22"/>
              </w:rPr>
              <w:t>Nav obligātas prasības un var izmantot alternatīvus risinājums, lai izpildītu MK noteikumu 454 19. punkta prasības, kas nosaka, ka “</w:t>
            </w:r>
            <w:r w:rsidRPr="0084407A">
              <w:rPr>
                <w:rFonts w:ascii="Times New Roman" w:hAnsi="Times New Roman"/>
                <w:i/>
                <w:iCs/>
                <w:sz w:val="22"/>
              </w:rPr>
              <w:t>Nomainītajiem gaismekļiem jānodrošina minimālās apgaismojuma prasības atbilstoši vietas apgaismojuma klasei, kas norādīta šo noteikumu ​1. pielikuma 6. punktā un atbilst Latvijas Republikas būvnormatīvu un standartu prasībām par ielu un ceļu apgaismojumu</w:t>
            </w:r>
            <w:r w:rsidRPr="0084407A">
              <w:rPr>
                <w:rFonts w:ascii="Times New Roman" w:hAnsi="Times New Roman"/>
                <w:sz w:val="22"/>
              </w:rPr>
              <w:t>” un DIALUX aprēķins ir viens no dokumentiem, kas to pamatotu.</w:t>
            </w:r>
          </w:p>
        </w:tc>
      </w:tr>
      <w:tr w:rsidR="006A350A" w:rsidRPr="0084407A" w14:paraId="707C709D" w14:textId="77777777" w:rsidTr="009A3EEA">
        <w:trPr>
          <w:cantSplit/>
        </w:trPr>
        <w:tc>
          <w:tcPr>
            <w:tcW w:w="822" w:type="dxa"/>
          </w:tcPr>
          <w:p w14:paraId="353302C2" w14:textId="513E96D0" w:rsidR="006A350A" w:rsidRPr="0084407A" w:rsidRDefault="00630A8B" w:rsidP="00AB59BD">
            <w:pPr>
              <w:jc w:val="center"/>
              <w:rPr>
                <w:rFonts w:ascii="Times New Roman" w:hAnsi="Times New Roman"/>
                <w:sz w:val="22"/>
              </w:rPr>
            </w:pPr>
            <w:bookmarkStart w:id="3" w:name="_Hlk112333280"/>
            <w:bookmarkEnd w:id="2"/>
            <w:r w:rsidRPr="0084407A">
              <w:rPr>
                <w:rFonts w:ascii="Times New Roman" w:hAnsi="Times New Roman"/>
                <w:sz w:val="22"/>
              </w:rPr>
              <w:t>6.</w:t>
            </w:r>
          </w:p>
        </w:tc>
        <w:tc>
          <w:tcPr>
            <w:tcW w:w="6719" w:type="dxa"/>
          </w:tcPr>
          <w:p w14:paraId="004A72FA" w14:textId="77777777" w:rsidR="00E83B6A" w:rsidRPr="0084407A" w:rsidRDefault="00E83B6A" w:rsidP="006A350A">
            <w:pPr>
              <w:jc w:val="both"/>
              <w:rPr>
                <w:rFonts w:ascii="Times New Roman" w:hAnsi="Times New Roman"/>
                <w:sz w:val="22"/>
              </w:rPr>
            </w:pPr>
            <w:r w:rsidRPr="0084407A">
              <w:rPr>
                <w:rFonts w:ascii="Times New Roman" w:hAnsi="Times New Roman"/>
                <w:sz w:val="22"/>
              </w:rPr>
              <w:t xml:space="preserve">Novada pašvaldība, gatavojot projekta pieteikumu, ir paredzējusi, ka tiks nomainīta lielākā daļa ielu apgaismes ķermeņu un izlases veidā (bojātie) apgaismes balsti, savukārt apgaismes tīkla kabeļi tiks saglabāti esošie. </w:t>
            </w:r>
          </w:p>
          <w:p w14:paraId="00FDAC64" w14:textId="423B191D" w:rsidR="006A350A" w:rsidRPr="0084407A" w:rsidRDefault="00E83B6A" w:rsidP="006A350A">
            <w:pPr>
              <w:jc w:val="both"/>
              <w:rPr>
                <w:rFonts w:ascii="Times New Roman" w:hAnsi="Times New Roman"/>
                <w:sz w:val="22"/>
              </w:rPr>
            </w:pPr>
            <w:r w:rsidRPr="0084407A">
              <w:rPr>
                <w:rFonts w:ascii="Times New Roman" w:hAnsi="Times New Roman"/>
                <w:sz w:val="22"/>
              </w:rPr>
              <w:t>Vai ir nepieciešams izstrādāt katras ielas vai publiskās teritorijas profila shēmas, ja  attālumus starp esošajiem balstiem var redzēt ģeogrāfiski piesaistītos ielu topogrāfijas plānos, noteiktā mērogā 1:1000, turklāt to savstarpējie attālumi paliek iepriekšējie, gaismekļu stiprinājumi trosēs, vai ēku sienās netiks izmantoti, savukārt pārējo, tehnisko informāciju ir iespējams detalizēti ietvert aprakstošā daļā?</w:t>
            </w:r>
          </w:p>
        </w:tc>
        <w:tc>
          <w:tcPr>
            <w:tcW w:w="7085" w:type="dxa"/>
          </w:tcPr>
          <w:p w14:paraId="1ECB18A0" w14:textId="0AD1DA95" w:rsidR="006A350A" w:rsidRPr="0084407A" w:rsidRDefault="00E83B6A" w:rsidP="009E5BCC">
            <w:pPr>
              <w:jc w:val="both"/>
              <w:rPr>
                <w:rFonts w:ascii="Times New Roman" w:hAnsi="Times New Roman"/>
                <w:sz w:val="22"/>
              </w:rPr>
            </w:pPr>
            <w:r w:rsidRPr="0084407A">
              <w:rPr>
                <w:rFonts w:ascii="Times New Roman" w:hAnsi="Times New Roman"/>
                <w:sz w:val="22"/>
              </w:rPr>
              <w:t xml:space="preserve">Ja informācija ir redzama citos dokumentos, tad </w:t>
            </w:r>
            <w:r w:rsidRPr="0084407A">
              <w:rPr>
                <w:rFonts w:ascii="Times New Roman" w:hAnsi="Times New Roman"/>
                <w:b/>
                <w:bCs/>
                <w:sz w:val="22"/>
              </w:rPr>
              <w:t>nav nepieciešams</w:t>
            </w:r>
            <w:r w:rsidRPr="0084407A">
              <w:rPr>
                <w:rFonts w:ascii="Times New Roman" w:hAnsi="Times New Roman"/>
                <w:sz w:val="22"/>
              </w:rPr>
              <w:t xml:space="preserve"> izstrādāt katras ielas vai publiskās teritorijas profila shēmas un tehnisko informāciju var detalizēti aprakstīt aprakstošā daļā.</w:t>
            </w:r>
          </w:p>
        </w:tc>
      </w:tr>
      <w:tr w:rsidR="00E63655" w:rsidRPr="0084407A" w14:paraId="08205C61" w14:textId="77777777" w:rsidTr="009A3EEA">
        <w:trPr>
          <w:cantSplit/>
        </w:trPr>
        <w:tc>
          <w:tcPr>
            <w:tcW w:w="822" w:type="dxa"/>
          </w:tcPr>
          <w:p w14:paraId="56F15EAD" w14:textId="59E5961B" w:rsidR="00E63655" w:rsidRPr="0084407A" w:rsidRDefault="00630A8B" w:rsidP="00AB59BD">
            <w:pPr>
              <w:jc w:val="center"/>
              <w:rPr>
                <w:rFonts w:ascii="Times New Roman" w:hAnsi="Times New Roman"/>
                <w:sz w:val="22"/>
              </w:rPr>
            </w:pPr>
            <w:bookmarkStart w:id="4" w:name="_Hlk112404531"/>
            <w:bookmarkEnd w:id="3"/>
            <w:r w:rsidRPr="0084407A">
              <w:rPr>
                <w:rFonts w:ascii="Times New Roman" w:hAnsi="Times New Roman"/>
                <w:sz w:val="22"/>
              </w:rPr>
              <w:t>7.</w:t>
            </w:r>
          </w:p>
        </w:tc>
        <w:tc>
          <w:tcPr>
            <w:tcW w:w="6719" w:type="dxa"/>
          </w:tcPr>
          <w:p w14:paraId="5AAFE721" w14:textId="77777777" w:rsidR="0054500D" w:rsidRPr="0084407A" w:rsidRDefault="0054500D" w:rsidP="0054500D">
            <w:pPr>
              <w:jc w:val="both"/>
              <w:rPr>
                <w:rFonts w:ascii="Times New Roman" w:hAnsi="Times New Roman"/>
                <w:sz w:val="22"/>
              </w:rPr>
            </w:pPr>
            <w:r w:rsidRPr="0084407A">
              <w:rPr>
                <w:rFonts w:ascii="Times New Roman" w:hAnsi="Times New Roman"/>
                <w:sz w:val="22"/>
              </w:rPr>
              <w:t xml:space="preserve">MK noteikuma Nr.454 9.punkta "Konkursa ietvaros projekta iesniedzējs var iesniegt ne vairāk kā trīs projekta iesniegumus par attiecīgās administratīvās teritorijas dažādām apdzīvotām vietām" nosacījumu. </w:t>
            </w:r>
          </w:p>
          <w:p w14:paraId="04C9EBCB" w14:textId="66F2FBAC" w:rsidR="00E63655" w:rsidRPr="0084407A" w:rsidRDefault="0054500D" w:rsidP="0054500D">
            <w:pPr>
              <w:jc w:val="both"/>
              <w:rPr>
                <w:rFonts w:ascii="Times New Roman" w:hAnsi="Times New Roman"/>
                <w:sz w:val="22"/>
              </w:rPr>
            </w:pPr>
            <w:r w:rsidRPr="0084407A">
              <w:rPr>
                <w:rFonts w:ascii="Times New Roman" w:hAnsi="Times New Roman"/>
                <w:sz w:val="22"/>
              </w:rPr>
              <w:t>Vai konkursā var pieteikties ar vienu projektu uz vienu vietu vai vienā projektā var būt vairākas vietas?</w:t>
            </w:r>
          </w:p>
        </w:tc>
        <w:tc>
          <w:tcPr>
            <w:tcW w:w="7085" w:type="dxa"/>
          </w:tcPr>
          <w:p w14:paraId="40BCA965" w14:textId="77777777" w:rsidR="0054500D" w:rsidRPr="0084407A" w:rsidRDefault="0054500D" w:rsidP="00E63655">
            <w:pPr>
              <w:jc w:val="both"/>
              <w:rPr>
                <w:rFonts w:ascii="Times New Roman" w:hAnsi="Times New Roman"/>
                <w:sz w:val="22"/>
              </w:rPr>
            </w:pPr>
            <w:r w:rsidRPr="0084407A">
              <w:rPr>
                <w:rFonts w:ascii="Times New Roman" w:hAnsi="Times New Roman"/>
                <w:sz w:val="22"/>
              </w:rPr>
              <w:t>MK noteikumi 454 nenosaka īpašus nosacījumus par vairāku projektu iesniegšanu. Iesniedzot vairākus projektus vienlaicīgi nevar tajos dublēties aktivitātes. Par vienu apdzīvoto vietu var iesniegt vairākus projektus un arī vienā projektā var būt iekļautas vairākas apdzīvotās vietas.</w:t>
            </w:r>
          </w:p>
          <w:p w14:paraId="4CD92FC3" w14:textId="77777777" w:rsidR="0054500D" w:rsidRPr="0084407A" w:rsidRDefault="0054500D" w:rsidP="00E63655">
            <w:pPr>
              <w:jc w:val="both"/>
              <w:rPr>
                <w:rFonts w:ascii="Times New Roman" w:hAnsi="Times New Roman"/>
                <w:sz w:val="22"/>
              </w:rPr>
            </w:pPr>
          </w:p>
          <w:p w14:paraId="51676F29" w14:textId="1B155640" w:rsidR="00DC78ED" w:rsidRPr="0084407A" w:rsidRDefault="0054500D" w:rsidP="00E63655">
            <w:pPr>
              <w:jc w:val="both"/>
              <w:rPr>
                <w:rFonts w:ascii="Times New Roman" w:hAnsi="Times New Roman"/>
                <w:sz w:val="22"/>
              </w:rPr>
            </w:pPr>
            <w:r w:rsidRPr="0084407A">
              <w:rPr>
                <w:rFonts w:ascii="Times New Roman" w:hAnsi="Times New Roman"/>
                <w:sz w:val="22"/>
              </w:rPr>
              <w:t>Iesakām apsvērt projektus grupēt pēc teritoriālā principa vai pēc projekta gatavības</w:t>
            </w:r>
            <w:r w:rsidR="00720A36" w:rsidRPr="0084407A">
              <w:rPr>
                <w:rFonts w:ascii="Times New Roman" w:hAnsi="Times New Roman"/>
                <w:sz w:val="22"/>
              </w:rPr>
              <w:t xml:space="preserve"> pakāpes, lai saņemtu maksimālo punktu skaitu kvalitātes vērtēšanas kritērijos.</w:t>
            </w:r>
            <w:r w:rsidRPr="0084407A">
              <w:rPr>
                <w:rFonts w:ascii="Times New Roman" w:hAnsi="Times New Roman"/>
                <w:sz w:val="22"/>
              </w:rPr>
              <w:t xml:space="preserve">   </w:t>
            </w:r>
          </w:p>
        </w:tc>
      </w:tr>
      <w:tr w:rsidR="00672CA3" w:rsidRPr="0084407A" w14:paraId="765C6D2E" w14:textId="77777777" w:rsidTr="009A3EEA">
        <w:trPr>
          <w:cantSplit/>
        </w:trPr>
        <w:tc>
          <w:tcPr>
            <w:tcW w:w="822" w:type="dxa"/>
          </w:tcPr>
          <w:p w14:paraId="7A2B8E2D" w14:textId="5A106F71" w:rsidR="00672CA3" w:rsidRPr="0084407A" w:rsidRDefault="00630A8B" w:rsidP="00AB59BD">
            <w:pPr>
              <w:jc w:val="center"/>
              <w:rPr>
                <w:rFonts w:ascii="Times New Roman" w:hAnsi="Times New Roman"/>
                <w:sz w:val="22"/>
              </w:rPr>
            </w:pPr>
            <w:bookmarkStart w:id="5" w:name="_Hlk113346416"/>
            <w:bookmarkEnd w:id="4"/>
            <w:r w:rsidRPr="0084407A">
              <w:rPr>
                <w:rFonts w:ascii="Times New Roman" w:hAnsi="Times New Roman"/>
                <w:sz w:val="22"/>
              </w:rPr>
              <w:t>8.</w:t>
            </w:r>
          </w:p>
        </w:tc>
        <w:tc>
          <w:tcPr>
            <w:tcW w:w="6719" w:type="dxa"/>
          </w:tcPr>
          <w:p w14:paraId="73FA5419" w14:textId="0CCB987E" w:rsidR="00672CA3" w:rsidRPr="0084407A" w:rsidRDefault="008355DC" w:rsidP="008355DC">
            <w:pPr>
              <w:jc w:val="both"/>
              <w:rPr>
                <w:rFonts w:ascii="Times New Roman" w:hAnsi="Times New Roman"/>
                <w:sz w:val="22"/>
              </w:rPr>
            </w:pPr>
            <w:r w:rsidRPr="0084407A">
              <w:rPr>
                <w:rFonts w:ascii="Times New Roman" w:hAnsi="Times New Roman"/>
                <w:sz w:val="22"/>
              </w:rPr>
              <w:t>Vai ielu aprakstos mums ir arī jāpiemin tos gaismekļus, kurus mēs neiekļaujam projektā? Piemēram, mums ir ielas, kur gaismekļi ir tikai daļēji modernizēti (atsevišķi ietvju posmi un pie gājēju pārējām) un pārējie visi ielas gaismekļi ir vecie, kurus mēs tad gribam iekļaut šajā projektā. Vai mums ielas aprakstā ignorēt šos dažus modernizētos gaismekļus?</w:t>
            </w:r>
          </w:p>
        </w:tc>
        <w:tc>
          <w:tcPr>
            <w:tcW w:w="7085" w:type="dxa"/>
          </w:tcPr>
          <w:p w14:paraId="657937BE" w14:textId="2CB6EF5C" w:rsidR="00C963AF" w:rsidRPr="0084407A" w:rsidRDefault="008355DC" w:rsidP="00C963AF">
            <w:pPr>
              <w:jc w:val="both"/>
              <w:rPr>
                <w:rFonts w:ascii="Times New Roman" w:hAnsi="Times New Roman"/>
                <w:sz w:val="22"/>
              </w:rPr>
            </w:pPr>
            <w:r w:rsidRPr="0084407A">
              <w:rPr>
                <w:rFonts w:ascii="Times New Roman" w:hAnsi="Times New Roman"/>
                <w:sz w:val="22"/>
              </w:rPr>
              <w:t xml:space="preserve">Lai izvērtētu </w:t>
            </w:r>
            <w:r w:rsidR="007B5EB5" w:rsidRPr="0084407A">
              <w:rPr>
                <w:rFonts w:ascii="Times New Roman" w:hAnsi="Times New Roman"/>
                <w:sz w:val="22"/>
              </w:rPr>
              <w:t>apgaismojuma prasības atbilstoši vietas apgaismojuma klasei ir jāiekļauj visi gaismekļi katrā posmā</w:t>
            </w:r>
            <w:r w:rsidR="00E241A5" w:rsidRPr="0084407A">
              <w:rPr>
                <w:rFonts w:ascii="Times New Roman" w:hAnsi="Times New Roman"/>
                <w:sz w:val="22"/>
              </w:rPr>
              <w:t xml:space="preserve"> un gaismekļi, kas netiek iekļauti projektā ir īpaši jāizdala. Pieļaujams ir neiekļaut gaismekļus vietās, kur tie neietekmētu apgaismojuma klases aprēķinus.</w:t>
            </w:r>
          </w:p>
        </w:tc>
      </w:tr>
      <w:tr w:rsidR="00D2014F" w:rsidRPr="0084407A" w14:paraId="415790E5" w14:textId="77777777" w:rsidTr="009A3EEA">
        <w:trPr>
          <w:cantSplit/>
        </w:trPr>
        <w:tc>
          <w:tcPr>
            <w:tcW w:w="822" w:type="dxa"/>
          </w:tcPr>
          <w:p w14:paraId="0CBAD0DB" w14:textId="7004D122" w:rsidR="00D2014F" w:rsidRPr="0084407A" w:rsidRDefault="00630A8B" w:rsidP="00AB59BD">
            <w:pPr>
              <w:jc w:val="center"/>
              <w:rPr>
                <w:rFonts w:ascii="Times New Roman" w:hAnsi="Times New Roman"/>
                <w:sz w:val="22"/>
              </w:rPr>
            </w:pPr>
            <w:bookmarkStart w:id="6" w:name="_Hlk113360476"/>
            <w:bookmarkStart w:id="7" w:name="_Hlk113356955"/>
            <w:bookmarkEnd w:id="5"/>
            <w:r w:rsidRPr="0084407A">
              <w:rPr>
                <w:rFonts w:ascii="Times New Roman" w:hAnsi="Times New Roman"/>
                <w:sz w:val="22"/>
              </w:rPr>
              <w:t>9.</w:t>
            </w:r>
          </w:p>
        </w:tc>
        <w:tc>
          <w:tcPr>
            <w:tcW w:w="6719" w:type="dxa"/>
          </w:tcPr>
          <w:p w14:paraId="0D75F04D" w14:textId="02FBE00B" w:rsidR="00312092" w:rsidRPr="0084407A" w:rsidRDefault="00312092" w:rsidP="00312092">
            <w:pPr>
              <w:jc w:val="both"/>
              <w:rPr>
                <w:rFonts w:ascii="Times New Roman" w:hAnsi="Times New Roman"/>
                <w:sz w:val="22"/>
              </w:rPr>
            </w:pPr>
            <w:r w:rsidRPr="0084407A">
              <w:rPr>
                <w:rFonts w:ascii="Times New Roman" w:hAnsi="Times New Roman"/>
                <w:sz w:val="22"/>
              </w:rPr>
              <w:t>Seminārā izskanēja piebilde, ka konkursa ietvaros pēc projekta pabeigšanas var neizvietot informatīvo plāksni, kaut to paredz 08.11.2018. Rīkojums Nr. 284 “Emisijas kvotu izsolīšanas instrumenta simbolika un tās lietošanas noteikumi” 4. punkts. Vai tiešām varam šo punktu neievērot (tas pats attiecas arī par informācijas stenda uzstādīšanu pirms projekta īstenošanas)?</w:t>
            </w:r>
          </w:p>
          <w:p w14:paraId="75EB0825" w14:textId="3F1FCDD2" w:rsidR="00D2014F" w:rsidRPr="0084407A" w:rsidRDefault="00312092" w:rsidP="00312092">
            <w:pPr>
              <w:jc w:val="both"/>
              <w:rPr>
                <w:rFonts w:ascii="Times New Roman" w:hAnsi="Times New Roman"/>
                <w:sz w:val="22"/>
              </w:rPr>
            </w:pPr>
            <w:r w:rsidRPr="0084407A">
              <w:rPr>
                <w:rFonts w:ascii="Times New Roman" w:hAnsi="Times New Roman"/>
                <w:sz w:val="22"/>
              </w:rPr>
              <w:t>Vai varam neparedzēt šādas aktivitātes: stenda un plāksnes uzstādīšanu?</w:t>
            </w:r>
          </w:p>
        </w:tc>
        <w:tc>
          <w:tcPr>
            <w:tcW w:w="7085" w:type="dxa"/>
          </w:tcPr>
          <w:p w14:paraId="54A4622F" w14:textId="6328DC80" w:rsidR="00D2014F" w:rsidRPr="0084407A" w:rsidRDefault="00312092" w:rsidP="00D2014F">
            <w:pPr>
              <w:jc w:val="both"/>
              <w:rPr>
                <w:rFonts w:ascii="Times New Roman" w:hAnsi="Times New Roman"/>
              </w:rPr>
            </w:pPr>
            <w:r w:rsidRPr="0084407A">
              <w:rPr>
                <w:rFonts w:ascii="Times New Roman" w:hAnsi="Times New Roman"/>
                <w:sz w:val="22"/>
              </w:rPr>
              <w:t>MK noteikumi 454 neparedz šādu prasību, tāpēc varat neparedzēt stenda un plāksnes uzstādīšanas aktivitātes.</w:t>
            </w:r>
          </w:p>
        </w:tc>
      </w:tr>
      <w:tr w:rsidR="00E643A9" w:rsidRPr="0084407A" w14:paraId="61EBE6FD" w14:textId="77777777" w:rsidTr="009A3EEA">
        <w:trPr>
          <w:cantSplit/>
        </w:trPr>
        <w:tc>
          <w:tcPr>
            <w:tcW w:w="822" w:type="dxa"/>
          </w:tcPr>
          <w:p w14:paraId="506E1F64" w14:textId="6A5C003C" w:rsidR="00E643A9" w:rsidRPr="0084407A" w:rsidRDefault="00630A8B" w:rsidP="00AB59BD">
            <w:pPr>
              <w:jc w:val="center"/>
              <w:rPr>
                <w:rFonts w:ascii="Times New Roman" w:hAnsi="Times New Roman"/>
                <w:sz w:val="22"/>
              </w:rPr>
            </w:pPr>
            <w:r w:rsidRPr="0084407A">
              <w:rPr>
                <w:rFonts w:ascii="Times New Roman" w:hAnsi="Times New Roman"/>
                <w:sz w:val="22"/>
              </w:rPr>
              <w:lastRenderedPageBreak/>
              <w:t>10.</w:t>
            </w:r>
          </w:p>
        </w:tc>
        <w:tc>
          <w:tcPr>
            <w:tcW w:w="6719" w:type="dxa"/>
          </w:tcPr>
          <w:p w14:paraId="2BB73198" w14:textId="08BDB7A9" w:rsidR="00E643A9" w:rsidRPr="0084407A" w:rsidRDefault="00312092" w:rsidP="00E643A9">
            <w:pPr>
              <w:jc w:val="both"/>
              <w:rPr>
                <w:rFonts w:ascii="Times New Roman" w:hAnsi="Times New Roman"/>
                <w:sz w:val="22"/>
              </w:rPr>
            </w:pPr>
            <w:r w:rsidRPr="0084407A">
              <w:rPr>
                <w:rFonts w:ascii="Times New Roman" w:hAnsi="Times New Roman"/>
                <w:sz w:val="22"/>
              </w:rPr>
              <w:t>MK noteikumi 454 57.2. un 57.3. apakšpunkti – vai varam uzskatīt, ka pasākums sabiedrības informēšanai par projekta aktivitātēm un rezultātiem tiek organizēts publicējot rakstu vietējā laikrakstā? Vai tomēr jābūt kādam semināram?</w:t>
            </w:r>
          </w:p>
        </w:tc>
        <w:tc>
          <w:tcPr>
            <w:tcW w:w="7085" w:type="dxa"/>
          </w:tcPr>
          <w:p w14:paraId="2DF66E22" w14:textId="7FCDFB5F" w:rsidR="00E643A9" w:rsidRPr="0084407A" w:rsidRDefault="00312092" w:rsidP="00E36B6F">
            <w:pPr>
              <w:jc w:val="both"/>
              <w:rPr>
                <w:rFonts w:ascii="Times New Roman" w:hAnsi="Times New Roman"/>
                <w:sz w:val="22"/>
              </w:rPr>
            </w:pPr>
            <w:r w:rsidRPr="0084407A">
              <w:rPr>
                <w:rFonts w:ascii="Times New Roman" w:hAnsi="Times New Roman"/>
                <w:sz w:val="22"/>
              </w:rPr>
              <w:t xml:space="preserve">Publikācijas laikrakstos vai tīmekļa vietnē netiek uzskatīts par pasākumu. </w:t>
            </w:r>
          </w:p>
        </w:tc>
      </w:tr>
      <w:tr w:rsidR="00A91138" w:rsidRPr="0084407A" w14:paraId="50240A0B" w14:textId="77777777" w:rsidTr="009A3EEA">
        <w:trPr>
          <w:cantSplit/>
        </w:trPr>
        <w:tc>
          <w:tcPr>
            <w:tcW w:w="822" w:type="dxa"/>
          </w:tcPr>
          <w:p w14:paraId="597D7089" w14:textId="3DDF1431" w:rsidR="00A91138" w:rsidRPr="0084407A" w:rsidRDefault="00543A36" w:rsidP="00AB59BD">
            <w:pPr>
              <w:jc w:val="center"/>
              <w:rPr>
                <w:rFonts w:ascii="Times New Roman" w:hAnsi="Times New Roman"/>
                <w:sz w:val="22"/>
              </w:rPr>
            </w:pPr>
            <w:bookmarkStart w:id="8" w:name="_Hlk113361035"/>
            <w:r w:rsidRPr="0084407A">
              <w:rPr>
                <w:rFonts w:ascii="Times New Roman" w:hAnsi="Times New Roman"/>
                <w:sz w:val="22"/>
              </w:rPr>
              <w:t>11.</w:t>
            </w:r>
          </w:p>
        </w:tc>
        <w:tc>
          <w:tcPr>
            <w:tcW w:w="6719" w:type="dxa"/>
          </w:tcPr>
          <w:p w14:paraId="3C530DB6" w14:textId="3A895288" w:rsidR="00A91138" w:rsidRPr="0084407A" w:rsidRDefault="00A91138" w:rsidP="00E643A9">
            <w:pPr>
              <w:jc w:val="both"/>
              <w:rPr>
                <w:rFonts w:ascii="Times New Roman" w:hAnsi="Times New Roman"/>
                <w:sz w:val="22"/>
              </w:rPr>
            </w:pPr>
            <w:r w:rsidRPr="0084407A">
              <w:rPr>
                <w:rFonts w:ascii="Times New Roman" w:hAnsi="Times New Roman"/>
                <w:sz w:val="22"/>
              </w:rPr>
              <w:t>Vai pašvaldība var iesniegt projektu, ja pašvaldībā ir arī pašvaldības aģentūra, kas apsaimnieko ielu apgaismojumu? Apmaksu par apgaismojumu tāpat veic pašvaldība. Reāli pašvaldības aģentūra tāpat i</w:t>
            </w:r>
            <w:r w:rsidR="00564D52" w:rsidRPr="0084407A">
              <w:rPr>
                <w:rFonts w:ascii="Times New Roman" w:hAnsi="Times New Roman"/>
                <w:sz w:val="22"/>
              </w:rPr>
              <w:t xml:space="preserve">r </w:t>
            </w:r>
            <w:r w:rsidRPr="0084407A">
              <w:rPr>
                <w:rFonts w:ascii="Times New Roman" w:hAnsi="Times New Roman"/>
                <w:sz w:val="22"/>
              </w:rPr>
              <w:t>ANP pakļautībā un projektu īstenošanu nodrošina ANP Plānošanas un attīstības nodaļa</w:t>
            </w:r>
            <w:r w:rsidR="00564D52" w:rsidRPr="0084407A">
              <w:rPr>
                <w:rFonts w:ascii="Times New Roman" w:hAnsi="Times New Roman"/>
                <w:sz w:val="22"/>
              </w:rPr>
              <w:t>.</w:t>
            </w:r>
          </w:p>
        </w:tc>
        <w:tc>
          <w:tcPr>
            <w:tcW w:w="7085" w:type="dxa"/>
          </w:tcPr>
          <w:p w14:paraId="5941E611" w14:textId="370F970A" w:rsidR="00A91138" w:rsidRPr="0084407A" w:rsidRDefault="00564D52" w:rsidP="00E36B6F">
            <w:pPr>
              <w:jc w:val="both"/>
              <w:rPr>
                <w:rFonts w:ascii="Times New Roman" w:hAnsi="Times New Roman"/>
                <w:sz w:val="22"/>
              </w:rPr>
            </w:pPr>
            <w:r w:rsidRPr="0084407A">
              <w:rPr>
                <w:rFonts w:ascii="Times New Roman" w:hAnsi="Times New Roman"/>
                <w:sz w:val="22"/>
              </w:rPr>
              <w:t>MK noteikumu Nr. 454 10. punkts nosaka, ka projekta pieteikumu var iesniegt, ja tā bilancē ir apgaismojuma infrastruktūra. Infrastruktūras apsaimniekošanu un uzturēšanu var nodrošināt trešā puse.</w:t>
            </w:r>
          </w:p>
        </w:tc>
      </w:tr>
      <w:bookmarkEnd w:id="6"/>
      <w:tr w:rsidR="00A91138" w:rsidRPr="0084407A" w14:paraId="04137874" w14:textId="77777777" w:rsidTr="009A3EEA">
        <w:trPr>
          <w:cantSplit/>
        </w:trPr>
        <w:tc>
          <w:tcPr>
            <w:tcW w:w="822" w:type="dxa"/>
          </w:tcPr>
          <w:p w14:paraId="11A2291B" w14:textId="1B65B294" w:rsidR="00A91138" w:rsidRPr="0084407A" w:rsidRDefault="00564D52" w:rsidP="00AB59BD">
            <w:pPr>
              <w:jc w:val="center"/>
              <w:rPr>
                <w:rFonts w:ascii="Times New Roman" w:hAnsi="Times New Roman"/>
                <w:sz w:val="22"/>
              </w:rPr>
            </w:pPr>
            <w:r w:rsidRPr="0084407A">
              <w:rPr>
                <w:rFonts w:ascii="Times New Roman" w:hAnsi="Times New Roman"/>
                <w:sz w:val="22"/>
              </w:rPr>
              <w:t>12.</w:t>
            </w:r>
          </w:p>
        </w:tc>
        <w:tc>
          <w:tcPr>
            <w:tcW w:w="6719" w:type="dxa"/>
          </w:tcPr>
          <w:p w14:paraId="150FB3DF" w14:textId="3C202143" w:rsidR="00A91138" w:rsidRPr="0084407A" w:rsidRDefault="00960F70" w:rsidP="00E643A9">
            <w:pPr>
              <w:jc w:val="both"/>
              <w:rPr>
                <w:rFonts w:ascii="Times New Roman" w:hAnsi="Times New Roman"/>
                <w:sz w:val="22"/>
              </w:rPr>
            </w:pPr>
            <w:r w:rsidRPr="0084407A">
              <w:rPr>
                <w:rFonts w:ascii="Times New Roman" w:hAnsi="Times New Roman"/>
                <w:sz w:val="22"/>
              </w:rPr>
              <w:t>Seminārā tika minēt, ka tiks vērtēta projektu gatavība – bet par to jau netiek piešķirti punkti un ņemot vērā to, ka šoreiz projektu īstenošanas termiņš ir 24 mēneši, ir pilnīgi pietiekams laiks lai veiktu gan atbilstošus iepirkumus, kad tiks apstiprināts projekts, gan nepieciešamības gadījumā izstrādāta tehniskā dokumentācija, ja ir nepieciešams. Vai tomēr tiks ņemts vērā vai jau ir izsludināts iepirkums?</w:t>
            </w:r>
          </w:p>
        </w:tc>
        <w:tc>
          <w:tcPr>
            <w:tcW w:w="7085" w:type="dxa"/>
          </w:tcPr>
          <w:p w14:paraId="16743B4B" w14:textId="6B2FD7FA" w:rsidR="00A91138" w:rsidRPr="0084407A" w:rsidRDefault="00960F70" w:rsidP="00E36B6F">
            <w:pPr>
              <w:jc w:val="both"/>
              <w:rPr>
                <w:rFonts w:ascii="Times New Roman" w:hAnsi="Times New Roman"/>
                <w:sz w:val="22"/>
              </w:rPr>
            </w:pPr>
            <w:r w:rsidRPr="0084407A">
              <w:rPr>
                <w:rFonts w:ascii="Times New Roman" w:hAnsi="Times New Roman"/>
                <w:sz w:val="22"/>
              </w:rPr>
              <w:t>Seminārā tika norādīts, ka sekmīgu projektu nosaka augsta gatavības pakāpe uz projekta iesnieguma datuma ņemot vērā globālās izmaiņas un inflāciju. Papildus punkti pie vērtēšanas par to netiks piešķirti.</w:t>
            </w:r>
          </w:p>
        </w:tc>
      </w:tr>
      <w:tr w:rsidR="00564D52" w:rsidRPr="0084407A" w14:paraId="1B7FB26C" w14:textId="77777777" w:rsidTr="009A3EEA">
        <w:trPr>
          <w:cantSplit/>
        </w:trPr>
        <w:tc>
          <w:tcPr>
            <w:tcW w:w="822" w:type="dxa"/>
          </w:tcPr>
          <w:p w14:paraId="4D5E044A" w14:textId="0DC12122" w:rsidR="00564D52" w:rsidRPr="0084407A" w:rsidRDefault="00564D52" w:rsidP="00AB59BD">
            <w:pPr>
              <w:jc w:val="center"/>
              <w:rPr>
                <w:rFonts w:ascii="Times New Roman" w:hAnsi="Times New Roman"/>
                <w:sz w:val="22"/>
              </w:rPr>
            </w:pPr>
            <w:r w:rsidRPr="0084407A">
              <w:rPr>
                <w:rFonts w:ascii="Times New Roman" w:hAnsi="Times New Roman"/>
                <w:sz w:val="22"/>
              </w:rPr>
              <w:t>13.</w:t>
            </w:r>
          </w:p>
        </w:tc>
        <w:tc>
          <w:tcPr>
            <w:tcW w:w="6719" w:type="dxa"/>
          </w:tcPr>
          <w:p w14:paraId="2AD775A8" w14:textId="7D14FD5F" w:rsidR="00564D52" w:rsidRPr="0084407A" w:rsidRDefault="00CC65C4" w:rsidP="00E643A9">
            <w:pPr>
              <w:jc w:val="both"/>
              <w:rPr>
                <w:rFonts w:ascii="Times New Roman" w:hAnsi="Times New Roman"/>
                <w:sz w:val="22"/>
              </w:rPr>
            </w:pPr>
            <w:r w:rsidRPr="0084407A">
              <w:rPr>
                <w:rFonts w:ascii="Times New Roman" w:hAnsi="Times New Roman"/>
                <w:sz w:val="22"/>
              </w:rPr>
              <w:t>Kā tieši tiks vērtēta un mērīta neattiecināmo izmaksu ietekme uz CO</w:t>
            </w:r>
            <w:r w:rsidRPr="0084407A">
              <w:rPr>
                <w:rFonts w:ascii="Times New Roman" w:hAnsi="Times New Roman"/>
                <w:sz w:val="22"/>
                <w:vertAlign w:val="subscript"/>
              </w:rPr>
              <w:t>2</w:t>
            </w:r>
            <w:r w:rsidRPr="0084407A">
              <w:rPr>
                <w:rFonts w:ascii="Times New Roman" w:hAnsi="Times New Roman"/>
                <w:sz w:val="22"/>
              </w:rPr>
              <w:t>?</w:t>
            </w:r>
          </w:p>
        </w:tc>
        <w:tc>
          <w:tcPr>
            <w:tcW w:w="7085" w:type="dxa"/>
          </w:tcPr>
          <w:p w14:paraId="26C981A7" w14:textId="60BABD7A" w:rsidR="00564D52" w:rsidRPr="0084407A" w:rsidRDefault="00CC65C4" w:rsidP="00E36B6F">
            <w:pPr>
              <w:jc w:val="both"/>
              <w:rPr>
                <w:rFonts w:ascii="Times New Roman" w:hAnsi="Times New Roman"/>
                <w:sz w:val="22"/>
              </w:rPr>
            </w:pPr>
            <w:r w:rsidRPr="0084407A">
              <w:rPr>
                <w:rFonts w:ascii="Times New Roman" w:hAnsi="Times New Roman"/>
                <w:sz w:val="22"/>
              </w:rPr>
              <w:t>Oglekļa dioksīda emisiju samazinājumu aprēķina tikai par projektā attiecināmajām izmaksām.</w:t>
            </w:r>
          </w:p>
        </w:tc>
      </w:tr>
      <w:tr w:rsidR="00115272" w:rsidRPr="0084407A" w14:paraId="1C61C367" w14:textId="77777777" w:rsidTr="009A3EEA">
        <w:trPr>
          <w:cantSplit/>
        </w:trPr>
        <w:tc>
          <w:tcPr>
            <w:tcW w:w="822" w:type="dxa"/>
          </w:tcPr>
          <w:p w14:paraId="1FB238CB" w14:textId="43E90380" w:rsidR="00115272" w:rsidRPr="0084407A" w:rsidRDefault="00115272" w:rsidP="00AB59BD">
            <w:pPr>
              <w:jc w:val="center"/>
              <w:rPr>
                <w:rFonts w:ascii="Times New Roman" w:hAnsi="Times New Roman"/>
                <w:sz w:val="22"/>
              </w:rPr>
            </w:pPr>
            <w:r w:rsidRPr="0084407A">
              <w:rPr>
                <w:rFonts w:ascii="Times New Roman" w:hAnsi="Times New Roman"/>
                <w:sz w:val="22"/>
              </w:rPr>
              <w:t>14.</w:t>
            </w:r>
          </w:p>
        </w:tc>
        <w:tc>
          <w:tcPr>
            <w:tcW w:w="6719" w:type="dxa"/>
          </w:tcPr>
          <w:p w14:paraId="13398516" w14:textId="745E6384" w:rsidR="00115272" w:rsidRPr="0084407A" w:rsidRDefault="00115272" w:rsidP="00E643A9">
            <w:pPr>
              <w:jc w:val="both"/>
              <w:rPr>
                <w:rFonts w:ascii="Times New Roman" w:hAnsi="Times New Roman"/>
                <w:sz w:val="22"/>
              </w:rPr>
            </w:pPr>
            <w:r w:rsidRPr="0084407A">
              <w:rPr>
                <w:rFonts w:ascii="Times New Roman" w:hAnsi="Times New Roman"/>
                <w:sz w:val="22"/>
              </w:rPr>
              <w:t xml:space="preserve">Ja projekta iesniedzējs ir pašvaldības iestāde (kuras bilancē ir apgaismojuma infrastruktūra), bet finansējumu projektam nodrošinās pašvaldība, un ir pašvaldības domes lēmums, kurā minēts par finansējuma apmēriem (līdzfinansējums, </w:t>
            </w:r>
            <w:proofErr w:type="spellStart"/>
            <w:r w:rsidRPr="0084407A">
              <w:rPr>
                <w:rFonts w:ascii="Times New Roman" w:hAnsi="Times New Roman"/>
                <w:sz w:val="22"/>
              </w:rPr>
              <w:t>priekšfinansējums</w:t>
            </w:r>
            <w:proofErr w:type="spellEnd"/>
            <w:r w:rsidRPr="0084407A">
              <w:rPr>
                <w:rFonts w:ascii="Times New Roman" w:hAnsi="Times New Roman"/>
                <w:sz w:val="22"/>
              </w:rPr>
              <w:t>, EKII finansējums), kā arī to, ka pašvaldības iestāde tiek pilnvarota iesniegt projekta pieteikumu, kā arī parakstīt citu ar projektu saistīto dokumentāciju, vai šāds lēmums atbildīs MK  noteikumu Nr.454 30.1. apakšpunktam?</w:t>
            </w:r>
          </w:p>
        </w:tc>
        <w:tc>
          <w:tcPr>
            <w:tcW w:w="7085" w:type="dxa"/>
          </w:tcPr>
          <w:p w14:paraId="20B35F75" w14:textId="2F9637AD" w:rsidR="00115272" w:rsidRPr="0084407A" w:rsidRDefault="00115272" w:rsidP="00E36B6F">
            <w:pPr>
              <w:jc w:val="both"/>
              <w:rPr>
                <w:rFonts w:ascii="Times New Roman" w:hAnsi="Times New Roman"/>
                <w:sz w:val="22"/>
              </w:rPr>
            </w:pPr>
            <w:r w:rsidRPr="0084407A">
              <w:rPr>
                <w:rFonts w:ascii="Times New Roman" w:hAnsi="Times New Roman"/>
                <w:sz w:val="22"/>
              </w:rPr>
              <w:t>Projekta iesniedzējam ir jāiesniedz MK noteikumu Nr. 454 30.1. apakšpunktā minētais lēmums, kam papildus var pievienot pašvaldības domes lēmumu par finansējuma nodrošināšanu.</w:t>
            </w:r>
          </w:p>
        </w:tc>
      </w:tr>
      <w:tr w:rsidR="002B308B" w:rsidRPr="0084407A" w14:paraId="0D2B49DE" w14:textId="77777777" w:rsidTr="009A3EEA">
        <w:trPr>
          <w:cantSplit/>
        </w:trPr>
        <w:tc>
          <w:tcPr>
            <w:tcW w:w="822" w:type="dxa"/>
          </w:tcPr>
          <w:p w14:paraId="06811407" w14:textId="2491783A" w:rsidR="002B308B" w:rsidRPr="0084407A" w:rsidRDefault="00B81B98" w:rsidP="00AB59BD">
            <w:pPr>
              <w:jc w:val="center"/>
              <w:rPr>
                <w:rFonts w:ascii="Times New Roman" w:hAnsi="Times New Roman"/>
                <w:sz w:val="22"/>
              </w:rPr>
            </w:pPr>
            <w:bookmarkStart w:id="9" w:name="_Hlk114173200"/>
            <w:r w:rsidRPr="0084407A">
              <w:rPr>
                <w:rFonts w:ascii="Times New Roman" w:hAnsi="Times New Roman"/>
                <w:sz w:val="22"/>
              </w:rPr>
              <w:t>15.</w:t>
            </w:r>
          </w:p>
        </w:tc>
        <w:tc>
          <w:tcPr>
            <w:tcW w:w="6719" w:type="dxa"/>
          </w:tcPr>
          <w:p w14:paraId="20EA06B8" w14:textId="457FBF94" w:rsidR="002B308B" w:rsidRPr="0084407A" w:rsidRDefault="00B81B98" w:rsidP="00B81B98">
            <w:pPr>
              <w:jc w:val="both"/>
              <w:rPr>
                <w:rFonts w:ascii="Times New Roman" w:hAnsi="Times New Roman"/>
                <w:sz w:val="22"/>
              </w:rPr>
            </w:pPr>
            <w:r w:rsidRPr="0084407A">
              <w:rPr>
                <w:rFonts w:ascii="Times New Roman" w:hAnsi="Times New Roman"/>
                <w:sz w:val="22"/>
              </w:rPr>
              <w:t xml:space="preserve">Vai esošo apgaismojuma sistēmas elementu pārbūve ietver arī, piem., balstu pārvietošanu un arī kāda jauna izbūvi esošajā sistēmā, jo esošā sistēma ir izbūvēta neatbilstoši prasībām? </w:t>
            </w:r>
          </w:p>
        </w:tc>
        <w:tc>
          <w:tcPr>
            <w:tcW w:w="7085" w:type="dxa"/>
          </w:tcPr>
          <w:p w14:paraId="4D1080D5" w14:textId="0841BD66" w:rsidR="002B308B" w:rsidRPr="0084407A" w:rsidRDefault="00C65CFB" w:rsidP="00E36B6F">
            <w:pPr>
              <w:jc w:val="both"/>
              <w:rPr>
                <w:rFonts w:ascii="Times New Roman" w:hAnsi="Times New Roman"/>
                <w:sz w:val="22"/>
              </w:rPr>
            </w:pPr>
            <w:r w:rsidRPr="0084407A">
              <w:rPr>
                <w:rFonts w:ascii="Times New Roman" w:hAnsi="Times New Roman"/>
                <w:sz w:val="22"/>
              </w:rPr>
              <w:t>MK noteikumu Nr. 454  20.4. apakšpunkts nenosaka papildu prasības, taču vēršam uzmanību, ka esošās apgaismojuma infrastruktūras elementu nomaiņas vai pārbūves izmaksas pasliktinās projekta rezultātus, jo neveicinās CO</w:t>
            </w:r>
            <w:r w:rsidRPr="0084407A">
              <w:rPr>
                <w:rFonts w:ascii="Times New Roman" w:hAnsi="Times New Roman"/>
                <w:sz w:val="22"/>
                <w:vertAlign w:val="subscript"/>
              </w:rPr>
              <w:t>2</w:t>
            </w:r>
            <w:r w:rsidRPr="0084407A">
              <w:rPr>
                <w:rFonts w:ascii="Times New Roman" w:hAnsi="Times New Roman"/>
                <w:sz w:val="22"/>
              </w:rPr>
              <w:t xml:space="preserve"> samazinājumu</w:t>
            </w:r>
          </w:p>
        </w:tc>
      </w:tr>
      <w:tr w:rsidR="002B308B" w:rsidRPr="0084407A" w14:paraId="6775824B" w14:textId="77777777" w:rsidTr="009A3EEA">
        <w:trPr>
          <w:cantSplit/>
        </w:trPr>
        <w:tc>
          <w:tcPr>
            <w:tcW w:w="822" w:type="dxa"/>
          </w:tcPr>
          <w:p w14:paraId="50BD7EFF" w14:textId="5D46B758" w:rsidR="002B308B" w:rsidRPr="0084407A" w:rsidRDefault="00B81B98" w:rsidP="00AB59BD">
            <w:pPr>
              <w:jc w:val="center"/>
              <w:rPr>
                <w:rFonts w:ascii="Times New Roman" w:hAnsi="Times New Roman"/>
                <w:sz w:val="22"/>
              </w:rPr>
            </w:pPr>
            <w:r w:rsidRPr="0084407A">
              <w:rPr>
                <w:rFonts w:ascii="Times New Roman" w:hAnsi="Times New Roman"/>
                <w:sz w:val="22"/>
              </w:rPr>
              <w:t>16.</w:t>
            </w:r>
          </w:p>
        </w:tc>
        <w:tc>
          <w:tcPr>
            <w:tcW w:w="6719" w:type="dxa"/>
          </w:tcPr>
          <w:p w14:paraId="10BDE311" w14:textId="1F9C3B7B" w:rsidR="002B308B" w:rsidRPr="0084407A" w:rsidRDefault="00B81B98" w:rsidP="00E643A9">
            <w:pPr>
              <w:jc w:val="both"/>
              <w:rPr>
                <w:rFonts w:ascii="Times New Roman" w:hAnsi="Times New Roman"/>
                <w:sz w:val="22"/>
              </w:rPr>
            </w:pPr>
            <w:r w:rsidRPr="0084407A">
              <w:rPr>
                <w:rFonts w:ascii="Times New Roman" w:hAnsi="Times New Roman"/>
                <w:sz w:val="22"/>
              </w:rPr>
              <w:t>Vai pie projekta dokumentācijas ir jāpievieno arī projekta tehniskā raksturojuma izstrādātāja sertifikāts un, ja jā tad tieši kāds?</w:t>
            </w:r>
          </w:p>
        </w:tc>
        <w:tc>
          <w:tcPr>
            <w:tcW w:w="7085" w:type="dxa"/>
          </w:tcPr>
          <w:p w14:paraId="5FBCC244" w14:textId="63EA006A" w:rsidR="002B308B" w:rsidRPr="0084407A" w:rsidRDefault="00C65CFB" w:rsidP="00E36B6F">
            <w:pPr>
              <w:jc w:val="both"/>
              <w:rPr>
                <w:rFonts w:ascii="Times New Roman" w:hAnsi="Times New Roman"/>
                <w:sz w:val="22"/>
              </w:rPr>
            </w:pPr>
            <w:r w:rsidRPr="0084407A">
              <w:rPr>
                <w:rFonts w:ascii="Times New Roman" w:hAnsi="Times New Roman"/>
                <w:sz w:val="22"/>
              </w:rPr>
              <w:t>Nē, nav jāpievieno.</w:t>
            </w:r>
          </w:p>
        </w:tc>
      </w:tr>
      <w:tr w:rsidR="002B308B" w:rsidRPr="0084407A" w14:paraId="77A0341C" w14:textId="77777777" w:rsidTr="009A3EEA">
        <w:trPr>
          <w:cantSplit/>
        </w:trPr>
        <w:tc>
          <w:tcPr>
            <w:tcW w:w="822" w:type="dxa"/>
          </w:tcPr>
          <w:p w14:paraId="22145E0D" w14:textId="623B0015" w:rsidR="002B308B" w:rsidRPr="0084407A" w:rsidRDefault="00B81B98" w:rsidP="00AB59BD">
            <w:pPr>
              <w:jc w:val="center"/>
              <w:rPr>
                <w:rFonts w:ascii="Times New Roman" w:hAnsi="Times New Roman"/>
                <w:sz w:val="22"/>
              </w:rPr>
            </w:pPr>
            <w:r w:rsidRPr="0084407A">
              <w:rPr>
                <w:rFonts w:ascii="Times New Roman" w:hAnsi="Times New Roman"/>
                <w:sz w:val="22"/>
              </w:rPr>
              <w:t>17.</w:t>
            </w:r>
          </w:p>
        </w:tc>
        <w:tc>
          <w:tcPr>
            <w:tcW w:w="6719" w:type="dxa"/>
          </w:tcPr>
          <w:p w14:paraId="0268D44B" w14:textId="231EC7E3" w:rsidR="002B308B" w:rsidRPr="0084407A" w:rsidRDefault="00B81B98" w:rsidP="00E643A9">
            <w:pPr>
              <w:jc w:val="both"/>
              <w:rPr>
                <w:rFonts w:ascii="Times New Roman" w:hAnsi="Times New Roman"/>
                <w:sz w:val="22"/>
              </w:rPr>
            </w:pPr>
            <w:r w:rsidRPr="0084407A">
              <w:rPr>
                <w:rFonts w:ascii="Times New Roman" w:hAnsi="Times New Roman"/>
                <w:sz w:val="22"/>
              </w:rPr>
              <w:t>Vai kādā projekta realizācijas posmā būs nepieciešami arī vēsturiskie grāmatvedības dati, t.i., par laiku līdz pārbūvei. Piemēram, mums ir viena apdzīvotā vieta, kur izmaksas ir mazas, jo apgaismojumu vasaras periodā vispār izslēdz, bet ziemas periodā tikai uz dažām stundām ieslēdz</w:t>
            </w:r>
            <w:r w:rsidR="00C65CFB" w:rsidRPr="0084407A">
              <w:rPr>
                <w:rFonts w:ascii="Times New Roman" w:hAnsi="Times New Roman"/>
                <w:sz w:val="22"/>
              </w:rPr>
              <w:t>?</w:t>
            </w:r>
          </w:p>
        </w:tc>
        <w:tc>
          <w:tcPr>
            <w:tcW w:w="7085" w:type="dxa"/>
          </w:tcPr>
          <w:p w14:paraId="0AA5043C" w14:textId="5FF7FFA0" w:rsidR="002B308B" w:rsidRPr="0084407A" w:rsidRDefault="00C65CFB" w:rsidP="00E36B6F">
            <w:pPr>
              <w:jc w:val="both"/>
              <w:rPr>
                <w:rFonts w:ascii="Times New Roman" w:hAnsi="Times New Roman"/>
                <w:sz w:val="22"/>
              </w:rPr>
            </w:pPr>
            <w:r w:rsidRPr="0084407A">
              <w:rPr>
                <w:rFonts w:ascii="Times New Roman" w:hAnsi="Times New Roman"/>
                <w:sz w:val="22"/>
              </w:rPr>
              <w:t>Iesniedzot projektu projekta tehniskajā raksturojumā ir jānorāda elektroenerģijas patēriņš pirms projekta īstenošanas</w:t>
            </w:r>
            <w:r w:rsidR="00891B16" w:rsidRPr="0084407A">
              <w:rPr>
                <w:rFonts w:ascii="Times New Roman" w:hAnsi="Times New Roman"/>
                <w:sz w:val="22"/>
              </w:rPr>
              <w:t>. Norādām, ka saskaņā ar MK noteikumu Nr. 454  86. punktu glabā dokumentus vismaz 10 gadus no dienas, kad beidzies projekta rezultātu monitoringa periods.</w:t>
            </w:r>
          </w:p>
        </w:tc>
      </w:tr>
      <w:tr w:rsidR="002B308B" w:rsidRPr="0084407A" w14:paraId="1E3F2077" w14:textId="77777777" w:rsidTr="009A3EEA">
        <w:trPr>
          <w:cantSplit/>
        </w:trPr>
        <w:tc>
          <w:tcPr>
            <w:tcW w:w="822" w:type="dxa"/>
          </w:tcPr>
          <w:p w14:paraId="57FBFD7D" w14:textId="1F129CEF" w:rsidR="002B308B" w:rsidRPr="0084407A" w:rsidRDefault="00B81B98" w:rsidP="00AB59BD">
            <w:pPr>
              <w:jc w:val="center"/>
              <w:rPr>
                <w:rFonts w:ascii="Times New Roman" w:hAnsi="Times New Roman"/>
                <w:sz w:val="22"/>
              </w:rPr>
            </w:pPr>
            <w:r w:rsidRPr="0084407A">
              <w:rPr>
                <w:rFonts w:ascii="Times New Roman" w:hAnsi="Times New Roman"/>
                <w:sz w:val="22"/>
              </w:rPr>
              <w:t>18.</w:t>
            </w:r>
          </w:p>
        </w:tc>
        <w:tc>
          <w:tcPr>
            <w:tcW w:w="6719" w:type="dxa"/>
          </w:tcPr>
          <w:p w14:paraId="7938818B" w14:textId="6B10C355" w:rsidR="002B308B" w:rsidRPr="0084407A" w:rsidRDefault="00B81B98" w:rsidP="00E643A9">
            <w:pPr>
              <w:jc w:val="both"/>
              <w:rPr>
                <w:rFonts w:ascii="Times New Roman" w:hAnsi="Times New Roman"/>
                <w:sz w:val="22"/>
              </w:rPr>
            </w:pPr>
            <w:r w:rsidRPr="0084407A">
              <w:rPr>
                <w:rFonts w:ascii="Times New Roman" w:hAnsi="Times New Roman"/>
                <w:sz w:val="22"/>
              </w:rPr>
              <w:t>Vai ir paredzēta vēl kāda kārta šai aktivitātei un, ja jā, tad kad?</w:t>
            </w:r>
          </w:p>
        </w:tc>
        <w:tc>
          <w:tcPr>
            <w:tcW w:w="7085" w:type="dxa"/>
          </w:tcPr>
          <w:p w14:paraId="07CEA93C" w14:textId="61E57995" w:rsidR="002B308B" w:rsidRPr="0084407A" w:rsidRDefault="00891B16" w:rsidP="00E36B6F">
            <w:pPr>
              <w:jc w:val="both"/>
              <w:rPr>
                <w:rFonts w:ascii="Times New Roman" w:hAnsi="Times New Roman"/>
                <w:sz w:val="22"/>
              </w:rPr>
            </w:pPr>
            <w:r w:rsidRPr="0084407A">
              <w:rPr>
                <w:rFonts w:ascii="Times New Roman" w:hAnsi="Times New Roman"/>
                <w:sz w:val="22"/>
              </w:rPr>
              <w:t>Šobrīd nav informācijas par papildus kārtu.</w:t>
            </w:r>
          </w:p>
        </w:tc>
      </w:tr>
      <w:tr w:rsidR="0084407A" w:rsidRPr="0084407A" w14:paraId="19730AE3" w14:textId="77777777" w:rsidTr="009A3EEA">
        <w:trPr>
          <w:cantSplit/>
        </w:trPr>
        <w:tc>
          <w:tcPr>
            <w:tcW w:w="822" w:type="dxa"/>
          </w:tcPr>
          <w:p w14:paraId="063691BA" w14:textId="032C8927" w:rsidR="0084407A" w:rsidRPr="0084407A" w:rsidRDefault="0084407A" w:rsidP="00AB59BD">
            <w:pPr>
              <w:jc w:val="center"/>
              <w:rPr>
                <w:rFonts w:ascii="Times New Roman" w:hAnsi="Times New Roman"/>
                <w:sz w:val="22"/>
              </w:rPr>
            </w:pPr>
            <w:bookmarkStart w:id="10" w:name="_Hlk114490148"/>
            <w:r w:rsidRPr="0084407A">
              <w:rPr>
                <w:rFonts w:ascii="Times New Roman" w:hAnsi="Times New Roman"/>
                <w:sz w:val="22"/>
              </w:rPr>
              <w:lastRenderedPageBreak/>
              <w:t>19.</w:t>
            </w:r>
          </w:p>
        </w:tc>
        <w:tc>
          <w:tcPr>
            <w:tcW w:w="6719" w:type="dxa"/>
          </w:tcPr>
          <w:p w14:paraId="445F6768" w14:textId="77777777" w:rsidR="0084407A" w:rsidRDefault="0084407A" w:rsidP="0084407A">
            <w:pPr>
              <w:jc w:val="both"/>
              <w:rPr>
                <w:rFonts w:ascii="Times New Roman" w:hAnsi="Times New Roman"/>
                <w:sz w:val="22"/>
              </w:rPr>
            </w:pPr>
            <w:r w:rsidRPr="0084407A">
              <w:rPr>
                <w:rFonts w:ascii="Times New Roman" w:hAnsi="Times New Roman"/>
                <w:sz w:val="22"/>
              </w:rPr>
              <w:t>Ja uz projekta iesnieguma iesniegšanas brīdi vēl nav izsludināts iepirkums, vai pareizi saprotam, ka jāveic tirgus izpēte? Vai ir noteikts minimālais skaits, cik tirgus izpētes dalībnieki jāaptaujā?</w:t>
            </w:r>
          </w:p>
          <w:p w14:paraId="1B0EE257" w14:textId="77777777" w:rsidR="0084407A" w:rsidRDefault="0084407A" w:rsidP="0084407A">
            <w:pPr>
              <w:jc w:val="both"/>
              <w:rPr>
                <w:rFonts w:ascii="Times New Roman" w:hAnsi="Times New Roman"/>
                <w:sz w:val="22"/>
              </w:rPr>
            </w:pPr>
            <w:r w:rsidRPr="0084407A">
              <w:rPr>
                <w:rFonts w:ascii="Times New Roman" w:hAnsi="Times New Roman"/>
                <w:sz w:val="22"/>
              </w:rPr>
              <w:t xml:space="preserve">Projekta veidlapās tiks norādīta informācija, balstoties uz tirgus izpētes datiem. Projekta apstiprināšanas gadījumā tiks izsludināts iepirkums. </w:t>
            </w:r>
          </w:p>
          <w:p w14:paraId="250DEA1D" w14:textId="77777777" w:rsidR="0084407A" w:rsidRPr="0084407A" w:rsidRDefault="0084407A" w:rsidP="0084407A">
            <w:pPr>
              <w:jc w:val="both"/>
              <w:rPr>
                <w:rFonts w:ascii="Times New Roman" w:hAnsi="Times New Roman"/>
                <w:sz w:val="22"/>
              </w:rPr>
            </w:pPr>
            <w:r w:rsidRPr="0084407A">
              <w:rPr>
                <w:rFonts w:ascii="Times New Roman" w:hAnsi="Times New Roman"/>
                <w:sz w:val="22"/>
              </w:rPr>
              <w:t xml:space="preserve">Kas notiek ar projektā paredzētajiem rādītājiem, ja, piemēram, iepirkuma uzvarētājs piedāvā jaudīgākus gaismekļus nekā tirgus izpētes pretendenti, un plānotie rādītāji būs labāki kā projektā veidlapā ierakstītie (vai otrādi)? </w:t>
            </w:r>
          </w:p>
          <w:p w14:paraId="21DB3174" w14:textId="77777777" w:rsidR="0084407A" w:rsidRPr="0084407A" w:rsidRDefault="0084407A" w:rsidP="0084407A">
            <w:pPr>
              <w:jc w:val="both"/>
              <w:rPr>
                <w:rFonts w:ascii="Times New Roman" w:hAnsi="Times New Roman"/>
                <w:sz w:val="22"/>
              </w:rPr>
            </w:pPr>
            <w:r w:rsidRPr="0084407A">
              <w:rPr>
                <w:rFonts w:ascii="Times New Roman" w:hAnsi="Times New Roman"/>
                <w:sz w:val="22"/>
              </w:rPr>
              <w:t xml:space="preserve">Tāpat par līdzfinansējuma un EKII finansējuma apmēru - uz tirgus izpētes pamata tā summa var sanāk viena, bet veicot iepirkumu, cita. </w:t>
            </w:r>
          </w:p>
          <w:p w14:paraId="76813FBE" w14:textId="7104FD96" w:rsidR="0084407A" w:rsidRPr="0084407A" w:rsidRDefault="0084407A" w:rsidP="0084407A">
            <w:pPr>
              <w:jc w:val="both"/>
              <w:rPr>
                <w:rFonts w:ascii="Times New Roman" w:hAnsi="Times New Roman"/>
                <w:sz w:val="22"/>
              </w:rPr>
            </w:pPr>
            <w:r w:rsidRPr="0084407A">
              <w:rPr>
                <w:rFonts w:ascii="Times New Roman" w:hAnsi="Times New Roman"/>
                <w:sz w:val="22"/>
              </w:rPr>
              <w:t>Abi iepriekšminētie punkti ietekmē arī rādītāju - attiecība starp CO</w:t>
            </w:r>
            <w:r w:rsidRPr="0084407A">
              <w:rPr>
                <w:rFonts w:ascii="Times New Roman" w:hAnsi="Times New Roman"/>
                <w:sz w:val="22"/>
                <w:vertAlign w:val="subscript"/>
              </w:rPr>
              <w:t xml:space="preserve">2 </w:t>
            </w:r>
            <w:r w:rsidRPr="0084407A">
              <w:rPr>
                <w:rFonts w:ascii="Times New Roman" w:hAnsi="Times New Roman"/>
                <w:sz w:val="22"/>
              </w:rPr>
              <w:t>emisiju samazinājumu gadā un projektam pieprasīto finanšu instrumenta finansējum</w:t>
            </w:r>
            <w:r>
              <w:rPr>
                <w:rFonts w:ascii="Times New Roman" w:hAnsi="Times New Roman"/>
                <w:sz w:val="22"/>
              </w:rPr>
              <w:t>u.</w:t>
            </w:r>
          </w:p>
        </w:tc>
        <w:tc>
          <w:tcPr>
            <w:tcW w:w="7085" w:type="dxa"/>
          </w:tcPr>
          <w:p w14:paraId="5DA5C24E" w14:textId="77777777" w:rsidR="0084407A" w:rsidRDefault="0084407A" w:rsidP="00E36B6F">
            <w:pPr>
              <w:jc w:val="both"/>
              <w:rPr>
                <w:rFonts w:ascii="Times New Roman" w:hAnsi="Times New Roman"/>
                <w:sz w:val="22"/>
              </w:rPr>
            </w:pPr>
            <w:r>
              <w:rPr>
                <w:rFonts w:ascii="Times New Roman" w:hAnsi="Times New Roman"/>
                <w:sz w:val="22"/>
              </w:rPr>
              <w:t>Nav noteiktas prasības par tirgus izpēti, vienlaikus norādām, ka lai sagatavotu projekta pieteikumu ir jāzina indikatīvās iekārtu cenas. Ja projekta pieteikumā būs norādītas mazākas izmaksas nekā būs nepieciešamas faktiski, tad projekta sadārdzinājums būs jāsedz no projekta iesniedzēja līdzekļiem.</w:t>
            </w:r>
          </w:p>
          <w:p w14:paraId="0F702E45" w14:textId="77777777" w:rsidR="003849B4" w:rsidRDefault="0084407A" w:rsidP="00E36B6F">
            <w:pPr>
              <w:jc w:val="both"/>
              <w:rPr>
                <w:rFonts w:ascii="Times New Roman" w:hAnsi="Times New Roman"/>
                <w:sz w:val="22"/>
              </w:rPr>
            </w:pPr>
            <w:r>
              <w:rPr>
                <w:rFonts w:ascii="Times New Roman" w:hAnsi="Times New Roman"/>
                <w:sz w:val="22"/>
              </w:rPr>
              <w:t>Izsludinot iepirkumu ir jānorāda tehniskie parametri gaismekļiem – ja tiek iesniegts piedāvājums, kurā ir norādīti jaudīgāki vai mazāk jaudīgi gaismekļi, tad tāds pieteikumus būtu noraidāms, kā neatbilstošs iepirkuma nolikumam.</w:t>
            </w:r>
            <w:r w:rsidR="00E1758A">
              <w:rPr>
                <w:rFonts w:ascii="Times New Roman" w:hAnsi="Times New Roman"/>
                <w:sz w:val="22"/>
              </w:rPr>
              <w:t xml:space="preserve"> </w:t>
            </w:r>
          </w:p>
          <w:p w14:paraId="1F853780" w14:textId="77777777" w:rsidR="003849B4" w:rsidRDefault="00E1758A" w:rsidP="00E36B6F">
            <w:pPr>
              <w:jc w:val="both"/>
              <w:rPr>
                <w:rFonts w:ascii="Times New Roman" w:hAnsi="Times New Roman"/>
                <w:sz w:val="22"/>
              </w:rPr>
            </w:pPr>
            <w:r>
              <w:rPr>
                <w:rFonts w:ascii="Times New Roman" w:hAnsi="Times New Roman"/>
                <w:sz w:val="22"/>
              </w:rPr>
              <w:t xml:space="preserve">Papildus norādām, ka ja iepirkumā pretendents piedāvā </w:t>
            </w:r>
            <w:proofErr w:type="spellStart"/>
            <w:r>
              <w:rPr>
                <w:rFonts w:ascii="Times New Roman" w:hAnsi="Times New Roman"/>
                <w:sz w:val="22"/>
              </w:rPr>
              <w:t>energo</w:t>
            </w:r>
            <w:proofErr w:type="spellEnd"/>
            <w:r>
              <w:rPr>
                <w:rFonts w:ascii="Times New Roman" w:hAnsi="Times New Roman"/>
                <w:sz w:val="22"/>
              </w:rPr>
              <w:t xml:space="preserve"> efektīvākus gaismekļus (ar mazāku jaudu tiek sasniegts tas pats vai lielāks </w:t>
            </w:r>
            <w:proofErr w:type="spellStart"/>
            <w:r>
              <w:rPr>
                <w:rFonts w:ascii="Times New Roman" w:hAnsi="Times New Roman"/>
                <w:sz w:val="22"/>
              </w:rPr>
              <w:t>Lumenu</w:t>
            </w:r>
            <w:proofErr w:type="spellEnd"/>
            <w:r>
              <w:rPr>
                <w:rFonts w:ascii="Times New Roman" w:hAnsi="Times New Roman"/>
                <w:sz w:val="22"/>
              </w:rPr>
              <w:t xml:space="preserve"> (lm) rādītājs), tad tā būtu uzskatāma par atbilstību, pie nosacījuma, ja gaismekļi atbilst pārējām iepirkuma specifikācijā minētajām prasībām. </w:t>
            </w:r>
          </w:p>
          <w:p w14:paraId="1351004F" w14:textId="293FF0AF" w:rsidR="0084407A" w:rsidRPr="00E1758A" w:rsidRDefault="00E1758A" w:rsidP="00E36B6F">
            <w:pPr>
              <w:jc w:val="both"/>
              <w:rPr>
                <w:rFonts w:ascii="Times New Roman" w:hAnsi="Times New Roman"/>
                <w:sz w:val="22"/>
              </w:rPr>
            </w:pPr>
            <w:r>
              <w:rPr>
                <w:rFonts w:ascii="Times New Roman" w:hAnsi="Times New Roman"/>
                <w:sz w:val="22"/>
              </w:rPr>
              <w:t>Ieteikums ir iepirkuma specifikācijā norādīt pieļaujamās robežas, piemēram, gaismekļa k</w:t>
            </w:r>
            <w:r w:rsidRPr="00E1758A">
              <w:rPr>
                <w:rFonts w:ascii="Times New Roman" w:hAnsi="Times New Roman"/>
                <w:sz w:val="22"/>
              </w:rPr>
              <w:t>opējā elektriskā patērējamā jauda ne vairāk kā</w:t>
            </w:r>
            <w:r w:rsidRPr="00E1758A">
              <w:rPr>
                <w:rFonts w:ascii="Times New Roman" w:hAnsi="Times New Roman"/>
                <w:sz w:val="22"/>
              </w:rPr>
              <w:t xml:space="preserve"> 50W</w:t>
            </w:r>
            <w:r w:rsidR="003849B4">
              <w:rPr>
                <w:rFonts w:ascii="Times New Roman" w:hAnsi="Times New Roman"/>
                <w:sz w:val="22"/>
              </w:rPr>
              <w:t xml:space="preserve">; </w:t>
            </w:r>
            <w:r w:rsidRPr="00E1758A">
              <w:rPr>
                <w:rFonts w:ascii="Times New Roman" w:hAnsi="Times New Roman"/>
                <w:sz w:val="22"/>
              </w:rPr>
              <w:t>g</w:t>
            </w:r>
            <w:r w:rsidRPr="00E1758A">
              <w:rPr>
                <w:rFonts w:ascii="Times New Roman" w:hAnsi="Times New Roman"/>
                <w:sz w:val="22"/>
              </w:rPr>
              <w:t>aismekļa efektivitāte ne mazāka kā</w:t>
            </w:r>
            <w:r w:rsidRPr="00E1758A">
              <w:t xml:space="preserve"> </w:t>
            </w:r>
            <w:r w:rsidRPr="00E1758A">
              <w:rPr>
                <w:rFonts w:ascii="Times New Roman" w:hAnsi="Times New Roman"/>
                <w:sz w:val="22"/>
              </w:rPr>
              <w:t>137 Lm/W</w:t>
            </w:r>
            <w:r w:rsidR="003849B4">
              <w:rPr>
                <w:rFonts w:ascii="Times New Roman" w:hAnsi="Times New Roman"/>
                <w:sz w:val="22"/>
              </w:rPr>
              <w:t>;</w:t>
            </w:r>
            <w:r>
              <w:rPr>
                <w:rFonts w:ascii="Times New Roman" w:hAnsi="Times New Roman"/>
                <w:sz w:val="22"/>
              </w:rPr>
              <w:t xml:space="preserve"> </w:t>
            </w:r>
            <w:r w:rsidR="003849B4">
              <w:rPr>
                <w:rFonts w:ascii="Times New Roman" w:hAnsi="Times New Roman"/>
                <w:sz w:val="22"/>
              </w:rPr>
              <w:t>k</w:t>
            </w:r>
            <w:r w:rsidR="003849B4" w:rsidRPr="003849B4">
              <w:rPr>
                <w:rFonts w:ascii="Times New Roman" w:hAnsi="Times New Roman"/>
                <w:sz w:val="22"/>
              </w:rPr>
              <w:t>opēj</w:t>
            </w:r>
            <w:r w:rsidR="003849B4">
              <w:rPr>
                <w:rFonts w:ascii="Times New Roman" w:hAnsi="Times New Roman"/>
                <w:sz w:val="22"/>
              </w:rPr>
              <w:t>ā</w:t>
            </w:r>
            <w:r w:rsidR="003849B4" w:rsidRPr="003849B4">
              <w:rPr>
                <w:rFonts w:ascii="Times New Roman" w:hAnsi="Times New Roman"/>
                <w:sz w:val="22"/>
              </w:rPr>
              <w:t xml:space="preserve"> </w:t>
            </w:r>
            <w:proofErr w:type="spellStart"/>
            <w:r w:rsidR="003849B4" w:rsidRPr="003849B4">
              <w:rPr>
                <w:rFonts w:ascii="Times New Roman" w:hAnsi="Times New Roman"/>
                <w:sz w:val="22"/>
              </w:rPr>
              <w:t>lūmenu</w:t>
            </w:r>
            <w:proofErr w:type="spellEnd"/>
            <w:r w:rsidR="003849B4" w:rsidRPr="003849B4">
              <w:rPr>
                <w:rFonts w:ascii="Times New Roman" w:hAnsi="Times New Roman"/>
                <w:sz w:val="22"/>
              </w:rPr>
              <w:t xml:space="preserve"> plūsma</w:t>
            </w:r>
            <w:r w:rsidR="003849B4">
              <w:rPr>
                <w:rFonts w:ascii="Times New Roman" w:hAnsi="Times New Roman"/>
                <w:sz w:val="22"/>
              </w:rPr>
              <w:t xml:space="preserve"> </w:t>
            </w:r>
            <w:r w:rsidR="003849B4" w:rsidRPr="00E1758A">
              <w:rPr>
                <w:rFonts w:ascii="Times New Roman" w:hAnsi="Times New Roman"/>
                <w:sz w:val="22"/>
              </w:rPr>
              <w:t>ne mazāka kā</w:t>
            </w:r>
            <w:r w:rsidR="003849B4" w:rsidRPr="00E1758A">
              <w:t xml:space="preserve"> </w:t>
            </w:r>
            <w:r w:rsidR="003849B4">
              <w:rPr>
                <w:rFonts w:ascii="Times New Roman" w:hAnsi="Times New Roman"/>
                <w:sz w:val="22"/>
              </w:rPr>
              <w:t>6000</w:t>
            </w:r>
            <w:r w:rsidR="003849B4" w:rsidRPr="00E1758A">
              <w:rPr>
                <w:rFonts w:ascii="Times New Roman" w:hAnsi="Times New Roman"/>
                <w:sz w:val="22"/>
              </w:rPr>
              <w:t xml:space="preserve"> Lm</w:t>
            </w:r>
            <w:r w:rsidR="003849B4">
              <w:rPr>
                <w:rFonts w:ascii="Times New Roman" w:hAnsi="Times New Roman"/>
                <w:sz w:val="22"/>
              </w:rPr>
              <w:t>.</w:t>
            </w:r>
          </w:p>
          <w:p w14:paraId="57775E8C" w14:textId="40AED3C9" w:rsidR="0084407A" w:rsidRPr="0084407A" w:rsidRDefault="0084407A" w:rsidP="00E36B6F">
            <w:pPr>
              <w:jc w:val="both"/>
              <w:rPr>
                <w:rFonts w:ascii="Times New Roman" w:hAnsi="Times New Roman"/>
                <w:sz w:val="22"/>
              </w:rPr>
            </w:pPr>
            <w:r>
              <w:rPr>
                <w:rFonts w:ascii="Times New Roman" w:hAnsi="Times New Roman"/>
                <w:sz w:val="22"/>
              </w:rPr>
              <w:t>Kvalitātes kritērijus nosaka balstoties uz projekta pieteikumā norādītās informācijas un netiek pārrēķināts projekta īstenošanas laikā.</w:t>
            </w:r>
          </w:p>
        </w:tc>
      </w:tr>
      <w:tr w:rsidR="0084407A" w:rsidRPr="0084407A" w14:paraId="39A99769" w14:textId="77777777" w:rsidTr="009A3EEA">
        <w:trPr>
          <w:cantSplit/>
        </w:trPr>
        <w:tc>
          <w:tcPr>
            <w:tcW w:w="822" w:type="dxa"/>
          </w:tcPr>
          <w:p w14:paraId="6D755AC3" w14:textId="5410E662" w:rsidR="0084407A" w:rsidRPr="0084407A" w:rsidRDefault="005F4F56" w:rsidP="00AB59BD">
            <w:pPr>
              <w:jc w:val="center"/>
              <w:rPr>
                <w:rFonts w:ascii="Times New Roman" w:hAnsi="Times New Roman"/>
                <w:sz w:val="22"/>
              </w:rPr>
            </w:pPr>
            <w:bookmarkStart w:id="11" w:name="_Hlk115103921"/>
            <w:bookmarkEnd w:id="10"/>
            <w:r>
              <w:rPr>
                <w:rFonts w:ascii="Times New Roman" w:hAnsi="Times New Roman"/>
                <w:sz w:val="22"/>
              </w:rPr>
              <w:t>20.</w:t>
            </w:r>
          </w:p>
        </w:tc>
        <w:tc>
          <w:tcPr>
            <w:tcW w:w="6719" w:type="dxa"/>
          </w:tcPr>
          <w:p w14:paraId="4A27E2CD" w14:textId="7C76DE91" w:rsidR="0084407A" w:rsidRPr="0084407A" w:rsidRDefault="005F4F56" w:rsidP="0084407A">
            <w:pPr>
              <w:jc w:val="both"/>
              <w:rPr>
                <w:rFonts w:ascii="Times New Roman" w:hAnsi="Times New Roman"/>
                <w:sz w:val="22"/>
              </w:rPr>
            </w:pPr>
            <w:r w:rsidRPr="005F4F56">
              <w:rPr>
                <w:rFonts w:ascii="Times New Roman" w:hAnsi="Times New Roman"/>
                <w:sz w:val="22"/>
              </w:rPr>
              <w:t xml:space="preserve">Projekta veidlapas 2.11. sadaļā Projekta īstenošanas vieta noteikts, ka jānorāda projekta īstenošanas vietas atbilstība pašvaldības publiskajai teritorijai (pamatojums, pievienotie dokumenti (to nosaukums, numurs u. c. apliecinoša informācija)). Lūdzu skaidrot, vai pietiek tikai ar norādi, ka tā ir publiska teritorija </w:t>
            </w:r>
            <w:r>
              <w:rPr>
                <w:rFonts w:ascii="Times New Roman" w:hAnsi="Times New Roman"/>
                <w:sz w:val="22"/>
              </w:rPr>
              <w:t>–</w:t>
            </w:r>
            <w:r w:rsidRPr="005F4F56">
              <w:rPr>
                <w:rFonts w:ascii="Times New Roman" w:hAnsi="Times New Roman"/>
                <w:sz w:val="22"/>
              </w:rPr>
              <w:t xml:space="preserve"> iela</w:t>
            </w:r>
            <w:r>
              <w:rPr>
                <w:rFonts w:ascii="Times New Roman" w:hAnsi="Times New Roman"/>
                <w:sz w:val="22"/>
              </w:rPr>
              <w:t>?</w:t>
            </w:r>
          </w:p>
        </w:tc>
        <w:tc>
          <w:tcPr>
            <w:tcW w:w="7085" w:type="dxa"/>
          </w:tcPr>
          <w:p w14:paraId="7734A4F7" w14:textId="08B08AC6" w:rsidR="0084407A" w:rsidRPr="0084407A" w:rsidRDefault="005F4F56" w:rsidP="00E36B6F">
            <w:pPr>
              <w:jc w:val="both"/>
              <w:rPr>
                <w:rFonts w:ascii="Times New Roman" w:hAnsi="Times New Roman"/>
                <w:sz w:val="22"/>
              </w:rPr>
            </w:pPr>
            <w:r>
              <w:rPr>
                <w:rFonts w:ascii="Times New Roman" w:hAnsi="Times New Roman"/>
                <w:sz w:val="22"/>
              </w:rPr>
              <w:t>Jā – pietiek.</w:t>
            </w:r>
          </w:p>
        </w:tc>
      </w:tr>
      <w:tr w:rsidR="0084407A" w:rsidRPr="00DD4525" w14:paraId="1EE49E3D" w14:textId="77777777" w:rsidTr="009A3EEA">
        <w:trPr>
          <w:cantSplit/>
        </w:trPr>
        <w:tc>
          <w:tcPr>
            <w:tcW w:w="822" w:type="dxa"/>
          </w:tcPr>
          <w:p w14:paraId="3A225E67" w14:textId="29538EF9" w:rsidR="0084407A" w:rsidRPr="00DD4525" w:rsidRDefault="005F4F56" w:rsidP="00AB59BD">
            <w:pPr>
              <w:jc w:val="center"/>
              <w:rPr>
                <w:rFonts w:ascii="Times New Roman" w:hAnsi="Times New Roman"/>
                <w:sz w:val="22"/>
              </w:rPr>
            </w:pPr>
            <w:r w:rsidRPr="00DD4525">
              <w:rPr>
                <w:rFonts w:ascii="Times New Roman" w:hAnsi="Times New Roman"/>
                <w:sz w:val="22"/>
              </w:rPr>
              <w:t>21.</w:t>
            </w:r>
          </w:p>
        </w:tc>
        <w:tc>
          <w:tcPr>
            <w:tcW w:w="6719" w:type="dxa"/>
          </w:tcPr>
          <w:p w14:paraId="5F0A3B4D" w14:textId="350F2796" w:rsidR="005F4F56" w:rsidRPr="00DD4525" w:rsidRDefault="005F4F56" w:rsidP="005F4F56">
            <w:pPr>
              <w:jc w:val="both"/>
              <w:rPr>
                <w:rFonts w:ascii="Times New Roman" w:hAnsi="Times New Roman"/>
                <w:sz w:val="22"/>
              </w:rPr>
            </w:pPr>
            <w:r w:rsidRPr="00DD4525">
              <w:rPr>
                <w:rFonts w:ascii="Times New Roman" w:hAnsi="Times New Roman"/>
                <w:sz w:val="22"/>
              </w:rPr>
              <w:t xml:space="preserve">Atbilstoši MK noteikumu Nr. 454  pielikumā dotajai informācijai, ja esošajā situācijā projektā paredzētajiem ielu posmiem nav iespējams veikt elektroenerģijas patēriņu mērījumus atsevišķam gaismeklim vai līnijai, tad 4.punktā norādīts, ka elektroenerģijas patēriņu var aprēķināt pēc formulas:  E(s) = </w:t>
            </w:r>
            <w:proofErr w:type="spellStart"/>
            <w:r w:rsidRPr="00DD4525">
              <w:rPr>
                <w:rFonts w:ascii="Times New Roman" w:hAnsi="Times New Roman"/>
                <w:sz w:val="22"/>
              </w:rPr>
              <w:t>Pnom</w:t>
            </w:r>
            <w:proofErr w:type="spellEnd"/>
            <w:r w:rsidRPr="00DD4525">
              <w:rPr>
                <w:rFonts w:ascii="Times New Roman" w:hAnsi="Times New Roman"/>
                <w:sz w:val="22"/>
              </w:rPr>
              <w:t>(s) × t × 10–6</w:t>
            </w:r>
          </w:p>
          <w:p w14:paraId="2691D8E2" w14:textId="77777777" w:rsidR="005F4F56" w:rsidRPr="00DD4525" w:rsidRDefault="005F4F56" w:rsidP="005F4F56">
            <w:pPr>
              <w:jc w:val="both"/>
              <w:rPr>
                <w:rFonts w:ascii="Times New Roman" w:hAnsi="Times New Roman"/>
                <w:sz w:val="22"/>
              </w:rPr>
            </w:pPr>
          </w:p>
          <w:p w14:paraId="443A1CC2" w14:textId="77777777" w:rsidR="005F4F56" w:rsidRPr="00DD4525" w:rsidRDefault="005F4F56" w:rsidP="005F4F56">
            <w:pPr>
              <w:jc w:val="both"/>
              <w:rPr>
                <w:rFonts w:ascii="Times New Roman" w:hAnsi="Times New Roman"/>
                <w:sz w:val="22"/>
              </w:rPr>
            </w:pPr>
            <w:r w:rsidRPr="00DD4525">
              <w:rPr>
                <w:rFonts w:ascii="Times New Roman" w:hAnsi="Times New Roman"/>
                <w:sz w:val="22"/>
              </w:rPr>
              <w:t xml:space="preserve">Šajā formulā noteikts, ka jāizmanto gaismekļu nominālā jauda, t.i., ir 100%. Taču situācijā pirms projekta ieviešanas esošais ielu apgaismojums ir aprīkots ar vadības sistēmu un jauda gaismekļiem tiek samazināta. </w:t>
            </w:r>
          </w:p>
          <w:p w14:paraId="046E2356" w14:textId="77777777" w:rsidR="005F4F56" w:rsidRPr="00DD4525" w:rsidRDefault="005F4F56" w:rsidP="005F4F56">
            <w:pPr>
              <w:jc w:val="both"/>
              <w:rPr>
                <w:rFonts w:ascii="Times New Roman" w:hAnsi="Times New Roman"/>
                <w:sz w:val="22"/>
              </w:rPr>
            </w:pPr>
          </w:p>
          <w:p w14:paraId="538C654A" w14:textId="104E3A17" w:rsidR="0084407A" w:rsidRPr="00DD4525" w:rsidRDefault="005F4F56" w:rsidP="005F4F56">
            <w:pPr>
              <w:jc w:val="both"/>
              <w:rPr>
                <w:rFonts w:ascii="Times New Roman" w:hAnsi="Times New Roman"/>
                <w:sz w:val="22"/>
              </w:rPr>
            </w:pPr>
            <w:r w:rsidRPr="00DD4525">
              <w:rPr>
                <w:rFonts w:ascii="Times New Roman" w:hAnsi="Times New Roman"/>
                <w:sz w:val="22"/>
              </w:rPr>
              <w:t>Lūdzu sniegt skaidrojumu, kādu formulu izmantot CO</w:t>
            </w:r>
            <w:r w:rsidRPr="00DD4525">
              <w:rPr>
                <w:rFonts w:ascii="Times New Roman" w:hAnsi="Times New Roman"/>
                <w:sz w:val="22"/>
                <w:vertAlign w:val="subscript"/>
              </w:rPr>
              <w:t>2</w:t>
            </w:r>
            <w:r w:rsidRPr="00DD4525">
              <w:rPr>
                <w:rFonts w:ascii="Times New Roman" w:hAnsi="Times New Roman"/>
                <w:sz w:val="22"/>
              </w:rPr>
              <w:t xml:space="preserve"> samazinājuma aprēķināšanai, ja esošie gaismekļi pirms projekta realizācijas ir aprīkoti ar vadības sistēmu un tiek samazināta to jauda, bet nav iespējams veikt elektroenerģijas patēriņu mērījumus atsevišķiem gaismekļiem vai līnijai.</w:t>
            </w:r>
          </w:p>
        </w:tc>
        <w:tc>
          <w:tcPr>
            <w:tcW w:w="7085" w:type="dxa"/>
          </w:tcPr>
          <w:p w14:paraId="4C16B9D9" w14:textId="69F1361B" w:rsidR="0084407A" w:rsidRPr="00DD4525" w:rsidRDefault="005F4F56" w:rsidP="00E36B6F">
            <w:pPr>
              <w:jc w:val="both"/>
              <w:rPr>
                <w:rFonts w:ascii="Times New Roman" w:hAnsi="Times New Roman"/>
                <w:sz w:val="22"/>
              </w:rPr>
            </w:pPr>
            <w:r w:rsidRPr="00DD4525">
              <w:rPr>
                <w:rFonts w:ascii="Times New Roman" w:hAnsi="Times New Roman"/>
                <w:sz w:val="22"/>
              </w:rPr>
              <w:t>Aprēķinos varat norādīt samazināto gaismekļu jaudu, ja to ir iespējams noteikt, un tā netiks uzskatīta par neatbilstību.</w:t>
            </w:r>
          </w:p>
        </w:tc>
      </w:tr>
      <w:tr w:rsidR="00DD4525" w:rsidRPr="00DD4525" w14:paraId="7446C784" w14:textId="77777777" w:rsidTr="009A3EEA">
        <w:trPr>
          <w:cantSplit/>
        </w:trPr>
        <w:tc>
          <w:tcPr>
            <w:tcW w:w="822" w:type="dxa"/>
          </w:tcPr>
          <w:p w14:paraId="7EB5FDFE" w14:textId="0C2F1AE4" w:rsidR="00DD4525" w:rsidRPr="00DD4525" w:rsidRDefault="00DD4525" w:rsidP="00AB59BD">
            <w:pPr>
              <w:jc w:val="center"/>
              <w:rPr>
                <w:rFonts w:ascii="Times New Roman" w:hAnsi="Times New Roman"/>
                <w:sz w:val="22"/>
              </w:rPr>
            </w:pPr>
            <w:bookmarkStart w:id="12" w:name="_Hlk115196008"/>
            <w:r w:rsidRPr="00DD4525">
              <w:rPr>
                <w:rFonts w:ascii="Times New Roman" w:hAnsi="Times New Roman"/>
                <w:sz w:val="22"/>
              </w:rPr>
              <w:lastRenderedPageBreak/>
              <w:t>22.</w:t>
            </w:r>
          </w:p>
        </w:tc>
        <w:tc>
          <w:tcPr>
            <w:tcW w:w="6719" w:type="dxa"/>
          </w:tcPr>
          <w:p w14:paraId="26DE02FE" w14:textId="32DADB19" w:rsidR="00DD4525" w:rsidRPr="00DD4525" w:rsidRDefault="00DD4525" w:rsidP="00DD4525">
            <w:pPr>
              <w:jc w:val="both"/>
              <w:rPr>
                <w:rFonts w:ascii="Times New Roman" w:hAnsi="Times New Roman"/>
                <w:sz w:val="22"/>
              </w:rPr>
            </w:pPr>
            <w:r w:rsidRPr="00DD4525">
              <w:rPr>
                <w:rFonts w:ascii="Times New Roman" w:hAnsi="Times New Roman"/>
                <w:sz w:val="22"/>
              </w:rPr>
              <w:t xml:space="preserve">Ņemot vērā, ka apdzīvotajā vietā netiek mainīts viss apgaismojums, bet tikai atsevišķas līnijas vai posmi, vai tikai atsevišķi gaismekļi, vai pēc projekta realizācijas patērētās elektrības aprēķiniem arī varēs izmantot formulu: E(s) = </w:t>
            </w:r>
            <w:proofErr w:type="spellStart"/>
            <w:r w:rsidRPr="00DD4525">
              <w:rPr>
                <w:rFonts w:ascii="Times New Roman" w:hAnsi="Times New Roman"/>
                <w:sz w:val="22"/>
              </w:rPr>
              <w:t>Pnom</w:t>
            </w:r>
            <w:proofErr w:type="spellEnd"/>
            <w:r w:rsidRPr="00DD4525">
              <w:rPr>
                <w:rFonts w:ascii="Times New Roman" w:hAnsi="Times New Roman"/>
                <w:sz w:val="22"/>
              </w:rPr>
              <w:t xml:space="preserve">(s) × t × 10–6 ? </w:t>
            </w:r>
          </w:p>
        </w:tc>
        <w:tc>
          <w:tcPr>
            <w:tcW w:w="7085" w:type="dxa"/>
          </w:tcPr>
          <w:p w14:paraId="2E259EB8" w14:textId="572A255C" w:rsidR="00DD4525" w:rsidRPr="00DD4525" w:rsidRDefault="00DD4525" w:rsidP="00E36B6F">
            <w:pPr>
              <w:jc w:val="both"/>
              <w:rPr>
                <w:rFonts w:ascii="Times New Roman" w:hAnsi="Times New Roman"/>
                <w:sz w:val="22"/>
              </w:rPr>
            </w:pPr>
            <w:r>
              <w:rPr>
                <w:rFonts w:ascii="Times New Roman" w:hAnsi="Times New Roman"/>
                <w:sz w:val="22"/>
              </w:rPr>
              <w:t>Ja elektrības patēriņu neuzskaitīs automātiski, tad varēs izstrādāt aprēķina metodiku. Katrā gadījumā aprēķina metodiku Vides investīciju fonds saskaņos atsevišķi.</w:t>
            </w:r>
          </w:p>
        </w:tc>
      </w:tr>
      <w:tr w:rsidR="00DD4525" w:rsidRPr="00DD4525" w14:paraId="34F3C87B" w14:textId="77777777" w:rsidTr="009A3EEA">
        <w:trPr>
          <w:cantSplit/>
        </w:trPr>
        <w:tc>
          <w:tcPr>
            <w:tcW w:w="822" w:type="dxa"/>
          </w:tcPr>
          <w:p w14:paraId="5A610884" w14:textId="30E1C50E" w:rsidR="00DD4525" w:rsidRPr="00DD4525" w:rsidRDefault="00DD4525" w:rsidP="00AB59BD">
            <w:pPr>
              <w:jc w:val="center"/>
              <w:rPr>
                <w:rFonts w:ascii="Times New Roman" w:hAnsi="Times New Roman"/>
                <w:sz w:val="22"/>
              </w:rPr>
            </w:pPr>
            <w:r w:rsidRPr="00DD4525">
              <w:rPr>
                <w:rFonts w:ascii="Times New Roman" w:hAnsi="Times New Roman"/>
                <w:sz w:val="22"/>
              </w:rPr>
              <w:t>23.</w:t>
            </w:r>
          </w:p>
        </w:tc>
        <w:tc>
          <w:tcPr>
            <w:tcW w:w="6719" w:type="dxa"/>
          </w:tcPr>
          <w:p w14:paraId="579089A4" w14:textId="2B8879A0" w:rsidR="00DD4525" w:rsidRPr="00DD4525" w:rsidRDefault="00DD4525" w:rsidP="005F4F56">
            <w:pPr>
              <w:jc w:val="both"/>
              <w:rPr>
                <w:rFonts w:ascii="Times New Roman" w:hAnsi="Times New Roman"/>
                <w:sz w:val="22"/>
              </w:rPr>
            </w:pPr>
            <w:r w:rsidRPr="00DD4525">
              <w:rPr>
                <w:rFonts w:ascii="Times New Roman" w:hAnsi="Times New Roman"/>
                <w:sz w:val="22"/>
              </w:rPr>
              <w:t xml:space="preserve">Vai projekta iesniegumam pievienojamie </w:t>
            </w:r>
            <w:proofErr w:type="spellStart"/>
            <w:r w:rsidRPr="00DD4525">
              <w:rPr>
                <w:rFonts w:ascii="Times New Roman" w:hAnsi="Times New Roman"/>
                <w:sz w:val="22"/>
              </w:rPr>
              <w:t>datormodelēšanas</w:t>
            </w:r>
            <w:proofErr w:type="spellEnd"/>
            <w:r w:rsidRPr="00DD4525">
              <w:rPr>
                <w:rFonts w:ascii="Times New Roman" w:hAnsi="Times New Roman"/>
                <w:sz w:val="22"/>
              </w:rPr>
              <w:t xml:space="preserve"> programmā veiktie uzstādāmā apgaismojuma pamatojošie aprēķini var palikt angļu valodā?</w:t>
            </w:r>
          </w:p>
        </w:tc>
        <w:tc>
          <w:tcPr>
            <w:tcW w:w="7085" w:type="dxa"/>
          </w:tcPr>
          <w:p w14:paraId="5EFD42AD" w14:textId="2120C3EA" w:rsidR="00DD4525" w:rsidRPr="00DD4525" w:rsidRDefault="00DD4525" w:rsidP="00E36B6F">
            <w:pPr>
              <w:jc w:val="both"/>
              <w:rPr>
                <w:rFonts w:ascii="Times New Roman" w:hAnsi="Times New Roman"/>
                <w:sz w:val="22"/>
              </w:rPr>
            </w:pPr>
            <w:r>
              <w:rPr>
                <w:rFonts w:ascii="Times New Roman" w:hAnsi="Times New Roman"/>
                <w:sz w:val="22"/>
              </w:rPr>
              <w:t>Ja ir lietoti vispārpieņemtie apzīmējumi, tad nav nepieciešams veikt tā tulkojumu. Vienlaikus norādām, ka vērtēšanas komisija var lūgt iesniegt atsevišķu terminu tulkojumu gadījumā, ja radīsies neskaidrība.</w:t>
            </w:r>
          </w:p>
        </w:tc>
      </w:tr>
      <w:tr w:rsidR="00DD4525" w:rsidRPr="00DD4525" w14:paraId="0D32ECC4" w14:textId="77777777" w:rsidTr="009A3EEA">
        <w:trPr>
          <w:cantSplit/>
        </w:trPr>
        <w:tc>
          <w:tcPr>
            <w:tcW w:w="822" w:type="dxa"/>
          </w:tcPr>
          <w:p w14:paraId="075EE42A" w14:textId="3CEDE699" w:rsidR="00DD4525" w:rsidRPr="00DD4525" w:rsidRDefault="00DD4525" w:rsidP="00AB59BD">
            <w:pPr>
              <w:jc w:val="center"/>
              <w:rPr>
                <w:rFonts w:ascii="Times New Roman" w:hAnsi="Times New Roman"/>
                <w:sz w:val="22"/>
              </w:rPr>
            </w:pPr>
            <w:r w:rsidRPr="00DD4525">
              <w:rPr>
                <w:rFonts w:ascii="Times New Roman" w:hAnsi="Times New Roman"/>
                <w:sz w:val="22"/>
              </w:rPr>
              <w:t>24.</w:t>
            </w:r>
          </w:p>
        </w:tc>
        <w:tc>
          <w:tcPr>
            <w:tcW w:w="6719" w:type="dxa"/>
          </w:tcPr>
          <w:p w14:paraId="5E63CBB0" w14:textId="57EFCF51" w:rsidR="00DD4525" w:rsidRPr="00DD4525" w:rsidRDefault="00DD4525" w:rsidP="005F4F56">
            <w:pPr>
              <w:jc w:val="both"/>
              <w:rPr>
                <w:rFonts w:ascii="Times New Roman" w:hAnsi="Times New Roman"/>
                <w:sz w:val="22"/>
              </w:rPr>
            </w:pPr>
            <w:r w:rsidRPr="00DD4525">
              <w:rPr>
                <w:rFonts w:ascii="Times New Roman" w:hAnsi="Times New Roman"/>
                <w:sz w:val="22"/>
              </w:rPr>
              <w:t>Kāda dokumentācija jāpievieno, lai apliecinātu, ka projektā ietvertā apgaismojuma infrastruktūra ir pašvaldības bilancē, vai arī pietiek tikai ar 7.sadaļu – apliecinājumu?</w:t>
            </w:r>
          </w:p>
        </w:tc>
        <w:tc>
          <w:tcPr>
            <w:tcW w:w="7085" w:type="dxa"/>
          </w:tcPr>
          <w:p w14:paraId="358A1420" w14:textId="4E4C53E2" w:rsidR="00DD4525" w:rsidRPr="00DD4525" w:rsidRDefault="00095979" w:rsidP="00E36B6F">
            <w:pPr>
              <w:jc w:val="both"/>
              <w:rPr>
                <w:rFonts w:ascii="Times New Roman" w:hAnsi="Times New Roman"/>
                <w:sz w:val="22"/>
              </w:rPr>
            </w:pPr>
            <w:r>
              <w:rPr>
                <w:rFonts w:ascii="Times New Roman" w:hAnsi="Times New Roman"/>
                <w:sz w:val="22"/>
              </w:rPr>
              <w:t>Jāpievieno projekta iesnieguma veidlapas 2. pielikums, kurā ir uzskaitīti visi gaismekļi, tie identificēti un apliecināts, ka atrodas projekta iesniedzēja bilancē.</w:t>
            </w:r>
          </w:p>
        </w:tc>
      </w:tr>
      <w:bookmarkEnd w:id="11"/>
      <w:bookmarkEnd w:id="12"/>
      <w:bookmarkEnd w:id="7"/>
      <w:bookmarkEnd w:id="8"/>
      <w:bookmarkEnd w:id="9"/>
    </w:tbl>
    <w:p w14:paraId="22910EFA" w14:textId="77777777" w:rsidR="00A26A07" w:rsidRPr="0084407A" w:rsidRDefault="00A26A07"/>
    <w:sectPr w:rsidR="00A26A07" w:rsidRPr="0084407A" w:rsidSect="00AB59BD">
      <w:head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2059" w14:textId="77777777" w:rsidR="003315D4" w:rsidRDefault="003315D4" w:rsidP="00AB59BD">
      <w:r>
        <w:separator/>
      </w:r>
    </w:p>
  </w:endnote>
  <w:endnote w:type="continuationSeparator" w:id="0">
    <w:p w14:paraId="20CBD96B" w14:textId="77777777" w:rsidR="003315D4" w:rsidRDefault="003315D4" w:rsidP="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A7EF" w14:textId="77777777" w:rsidR="003315D4" w:rsidRDefault="003315D4" w:rsidP="00AB59BD">
      <w:r>
        <w:separator/>
      </w:r>
    </w:p>
  </w:footnote>
  <w:footnote w:type="continuationSeparator" w:id="0">
    <w:p w14:paraId="383A7A15" w14:textId="77777777" w:rsidR="003315D4" w:rsidRDefault="003315D4" w:rsidP="00AB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972" w14:textId="77777777" w:rsidR="00AB59BD" w:rsidRDefault="00AB59BD" w:rsidP="00AB59BD">
    <w:pPr>
      <w:pStyle w:val="Header"/>
      <w:jc w:val="right"/>
      <w:rPr>
        <w:noProof/>
        <w:lang w:eastAsia="lv-LV"/>
      </w:rPr>
    </w:pPr>
  </w:p>
  <w:p w14:paraId="1E1AB80C" w14:textId="77777777" w:rsidR="00AB49B6" w:rsidRDefault="00AB49B6" w:rsidP="00AB59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406"/>
    <w:multiLevelType w:val="hybridMultilevel"/>
    <w:tmpl w:val="A0FC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A35BB0"/>
    <w:multiLevelType w:val="hybridMultilevel"/>
    <w:tmpl w:val="962C8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2911793">
    <w:abstractNumId w:val="1"/>
  </w:num>
  <w:num w:numId="2" w16cid:durableId="19484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9BD"/>
    <w:rsid w:val="000006DB"/>
    <w:rsid w:val="0002574E"/>
    <w:rsid w:val="000725A6"/>
    <w:rsid w:val="00095752"/>
    <w:rsid w:val="00095979"/>
    <w:rsid w:val="00115272"/>
    <w:rsid w:val="00131CA9"/>
    <w:rsid w:val="00195CF1"/>
    <w:rsid w:val="001A56F2"/>
    <w:rsid w:val="001B3C5D"/>
    <w:rsid w:val="0022513C"/>
    <w:rsid w:val="00241FCA"/>
    <w:rsid w:val="002574B9"/>
    <w:rsid w:val="0028039C"/>
    <w:rsid w:val="002B308B"/>
    <w:rsid w:val="002F57D6"/>
    <w:rsid w:val="00312092"/>
    <w:rsid w:val="003315D4"/>
    <w:rsid w:val="003601D2"/>
    <w:rsid w:val="003849B4"/>
    <w:rsid w:val="003B54F6"/>
    <w:rsid w:val="00420646"/>
    <w:rsid w:val="00423184"/>
    <w:rsid w:val="00433F63"/>
    <w:rsid w:val="00486064"/>
    <w:rsid w:val="004B3EBC"/>
    <w:rsid w:val="00512D9F"/>
    <w:rsid w:val="00543A36"/>
    <w:rsid w:val="0054500D"/>
    <w:rsid w:val="005507C0"/>
    <w:rsid w:val="00564D52"/>
    <w:rsid w:val="00570896"/>
    <w:rsid w:val="005F4F56"/>
    <w:rsid w:val="00611B1F"/>
    <w:rsid w:val="00630A8B"/>
    <w:rsid w:val="00672CA3"/>
    <w:rsid w:val="006A350A"/>
    <w:rsid w:val="006A789E"/>
    <w:rsid w:val="00706551"/>
    <w:rsid w:val="00720A36"/>
    <w:rsid w:val="00762960"/>
    <w:rsid w:val="007925A1"/>
    <w:rsid w:val="00795750"/>
    <w:rsid w:val="007B5EB5"/>
    <w:rsid w:val="00800BCA"/>
    <w:rsid w:val="0081623D"/>
    <w:rsid w:val="008355DC"/>
    <w:rsid w:val="00837912"/>
    <w:rsid w:val="00842C0C"/>
    <w:rsid w:val="0084407A"/>
    <w:rsid w:val="008737D5"/>
    <w:rsid w:val="00891B16"/>
    <w:rsid w:val="008C415D"/>
    <w:rsid w:val="008C7BC3"/>
    <w:rsid w:val="00960F70"/>
    <w:rsid w:val="00965D10"/>
    <w:rsid w:val="009A3EEA"/>
    <w:rsid w:val="009A5ECA"/>
    <w:rsid w:val="009E5BCC"/>
    <w:rsid w:val="00A24E0B"/>
    <w:rsid w:val="00A26A07"/>
    <w:rsid w:val="00A91138"/>
    <w:rsid w:val="00AB2B56"/>
    <w:rsid w:val="00AB49B6"/>
    <w:rsid w:val="00AB59BD"/>
    <w:rsid w:val="00AC7FF3"/>
    <w:rsid w:val="00AF3075"/>
    <w:rsid w:val="00B12067"/>
    <w:rsid w:val="00B609C4"/>
    <w:rsid w:val="00B74801"/>
    <w:rsid w:val="00B81B98"/>
    <w:rsid w:val="00C40E05"/>
    <w:rsid w:val="00C43A15"/>
    <w:rsid w:val="00C53F1A"/>
    <w:rsid w:val="00C65CFB"/>
    <w:rsid w:val="00C70828"/>
    <w:rsid w:val="00C8107F"/>
    <w:rsid w:val="00C963AF"/>
    <w:rsid w:val="00CC65C4"/>
    <w:rsid w:val="00D2014F"/>
    <w:rsid w:val="00D52441"/>
    <w:rsid w:val="00D91EE4"/>
    <w:rsid w:val="00DA2AA5"/>
    <w:rsid w:val="00DA67F5"/>
    <w:rsid w:val="00DB266F"/>
    <w:rsid w:val="00DC78ED"/>
    <w:rsid w:val="00DD4525"/>
    <w:rsid w:val="00DE78C4"/>
    <w:rsid w:val="00DF44DC"/>
    <w:rsid w:val="00DF65EF"/>
    <w:rsid w:val="00E1758A"/>
    <w:rsid w:val="00E241A5"/>
    <w:rsid w:val="00E36B6F"/>
    <w:rsid w:val="00E41D27"/>
    <w:rsid w:val="00E63655"/>
    <w:rsid w:val="00E643A9"/>
    <w:rsid w:val="00E83B6A"/>
    <w:rsid w:val="00EE48E7"/>
    <w:rsid w:val="00EF486E"/>
    <w:rsid w:val="00F000F2"/>
    <w:rsid w:val="00F32EA2"/>
    <w:rsid w:val="00F50428"/>
    <w:rsid w:val="00F71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A10"/>
  <w15:docId w15:val="{9FAEC264-BE34-43E6-83BE-69E4904F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BD"/>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9BD"/>
    <w:rPr>
      <w:rFonts w:ascii="Calibri" w:eastAsia="Calibri" w:hAnsi="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 w:type="character" w:customStyle="1" w:styleId="UnresolvedMention1">
    <w:name w:val="Unresolved Mention1"/>
    <w:basedOn w:val="DefaultParagraphFont"/>
    <w:uiPriority w:val="99"/>
    <w:semiHidden/>
    <w:unhideWhenUsed/>
    <w:rsid w:val="00AB2B56"/>
    <w:rPr>
      <w:color w:val="605E5C"/>
      <w:shd w:val="clear" w:color="auto" w:fill="E1DFDD"/>
    </w:rPr>
  </w:style>
  <w:style w:type="paragraph" w:styleId="Revision">
    <w:name w:val="Revision"/>
    <w:hidden/>
    <w:uiPriority w:val="99"/>
    <w:semiHidden/>
    <w:rsid w:val="00837912"/>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340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FB38-01E9-4968-B56A-D0291644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6</Pages>
  <Words>10770</Words>
  <Characters>6140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Gints Kārkliņš</cp:lastModifiedBy>
  <cp:revision>26</cp:revision>
  <dcterms:created xsi:type="dcterms:W3CDTF">2016-04-07T07:43:00Z</dcterms:created>
  <dcterms:modified xsi:type="dcterms:W3CDTF">2023-01-10T10:38:00Z</dcterms:modified>
</cp:coreProperties>
</file>