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9071" w14:textId="77777777" w:rsidR="00F518DD" w:rsidRPr="00E41D27" w:rsidRDefault="00F518DD" w:rsidP="00F518DD">
      <w:pPr>
        <w:jc w:val="center"/>
        <w:rPr>
          <w:b/>
        </w:rPr>
      </w:pPr>
      <w:r w:rsidRPr="00E41D27">
        <w:rPr>
          <w:b/>
        </w:rPr>
        <w:t>Atbildes uz uzdotajiem jautājumiem par</w:t>
      </w:r>
    </w:p>
    <w:p w14:paraId="5DD53BBB" w14:textId="77777777" w:rsidR="00F518DD" w:rsidRPr="00E41D27" w:rsidRDefault="00F518DD" w:rsidP="00F518DD">
      <w:pPr>
        <w:jc w:val="center"/>
        <w:rPr>
          <w:b/>
        </w:rPr>
      </w:pPr>
      <w:r w:rsidRPr="00E41D27">
        <w:rPr>
          <w:b/>
        </w:rPr>
        <w:t>Emisijas kvotu izsolīšanas instrumenta finansēto projektu atklāta konkursu</w:t>
      </w:r>
    </w:p>
    <w:p w14:paraId="5861585D" w14:textId="77777777" w:rsidR="00F518DD" w:rsidRPr="00E41D27" w:rsidRDefault="00F518DD" w:rsidP="00F518DD">
      <w:pPr>
        <w:jc w:val="center"/>
        <w:rPr>
          <w:b/>
        </w:rPr>
      </w:pPr>
      <w:r w:rsidRPr="00E41D27">
        <w:rPr>
          <w:b/>
        </w:rPr>
        <w:t>“Siltumnīcefekta gāzu emisiju samazināšana valsts nozīmes aizsargājamos arhitektūras pieminekļos” II. kārta</w:t>
      </w:r>
    </w:p>
    <w:p w14:paraId="2987C30D" w14:textId="77777777" w:rsidR="00F518DD" w:rsidRPr="00E41D27" w:rsidRDefault="00F518DD" w:rsidP="00F518DD"/>
    <w:p w14:paraId="58528657" w14:textId="77777777" w:rsidR="00F518DD" w:rsidRPr="00E41D27" w:rsidRDefault="00F518DD" w:rsidP="00F518DD">
      <w:pPr>
        <w:rPr>
          <w:i/>
        </w:rPr>
      </w:pPr>
      <w:r w:rsidRPr="00E41D27">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82"/>
        <w:gridCol w:w="12278"/>
      </w:tblGrid>
      <w:tr w:rsidR="00F518DD" w:rsidRPr="00E41D27" w14:paraId="2900BE69" w14:textId="77777777" w:rsidTr="003E6ADC">
        <w:tc>
          <w:tcPr>
            <w:tcW w:w="2290" w:type="dxa"/>
          </w:tcPr>
          <w:p w14:paraId="70F88F6B" w14:textId="77777777" w:rsidR="00F518DD" w:rsidRPr="00E41D27" w:rsidRDefault="00F518DD" w:rsidP="003E6ADC">
            <w:pPr>
              <w:rPr>
                <w:b/>
                <w:sz w:val="20"/>
                <w:szCs w:val="20"/>
              </w:rPr>
            </w:pPr>
            <w:r w:rsidRPr="00E41D27">
              <w:rPr>
                <w:b/>
                <w:sz w:val="20"/>
                <w:szCs w:val="20"/>
              </w:rPr>
              <w:t>ES</w:t>
            </w:r>
          </w:p>
        </w:tc>
        <w:tc>
          <w:tcPr>
            <w:tcW w:w="12336" w:type="dxa"/>
          </w:tcPr>
          <w:p w14:paraId="0AA2F795" w14:textId="77777777" w:rsidR="00F518DD" w:rsidRPr="00E41D27" w:rsidRDefault="00F518DD" w:rsidP="003E6ADC">
            <w:pPr>
              <w:rPr>
                <w:sz w:val="20"/>
                <w:szCs w:val="20"/>
              </w:rPr>
            </w:pPr>
            <w:r w:rsidRPr="00E41D27">
              <w:rPr>
                <w:sz w:val="20"/>
                <w:szCs w:val="20"/>
              </w:rPr>
              <w:t>Eiropas Savienība</w:t>
            </w:r>
          </w:p>
        </w:tc>
      </w:tr>
      <w:tr w:rsidR="00F518DD" w:rsidRPr="00E41D27" w14:paraId="2C499546" w14:textId="77777777" w:rsidTr="003E6ADC">
        <w:tc>
          <w:tcPr>
            <w:tcW w:w="2290" w:type="dxa"/>
          </w:tcPr>
          <w:p w14:paraId="1C958D3A" w14:textId="77777777" w:rsidR="00F518DD" w:rsidRPr="00E41D27" w:rsidRDefault="00F518DD" w:rsidP="003E6ADC">
            <w:pPr>
              <w:rPr>
                <w:b/>
                <w:sz w:val="20"/>
                <w:szCs w:val="20"/>
              </w:rPr>
            </w:pPr>
            <w:r w:rsidRPr="00E41D27">
              <w:rPr>
                <w:b/>
                <w:sz w:val="20"/>
                <w:szCs w:val="20"/>
              </w:rPr>
              <w:t>VARAM</w:t>
            </w:r>
          </w:p>
        </w:tc>
        <w:tc>
          <w:tcPr>
            <w:tcW w:w="12336" w:type="dxa"/>
          </w:tcPr>
          <w:p w14:paraId="30579DB2" w14:textId="77777777" w:rsidR="00F518DD" w:rsidRPr="00E41D27" w:rsidRDefault="00F518DD" w:rsidP="003E6ADC">
            <w:pPr>
              <w:rPr>
                <w:sz w:val="20"/>
                <w:szCs w:val="20"/>
              </w:rPr>
            </w:pPr>
            <w:r w:rsidRPr="00E41D27">
              <w:rPr>
                <w:sz w:val="20"/>
                <w:szCs w:val="20"/>
              </w:rPr>
              <w:t>Vides aizsardzības un reģionālās attīstības ministrija</w:t>
            </w:r>
          </w:p>
        </w:tc>
      </w:tr>
      <w:tr w:rsidR="00F518DD" w:rsidRPr="00E41D27" w14:paraId="7D00F0BB" w14:textId="77777777" w:rsidTr="003E6ADC">
        <w:tc>
          <w:tcPr>
            <w:tcW w:w="2290" w:type="dxa"/>
          </w:tcPr>
          <w:p w14:paraId="1DF06F94" w14:textId="77777777" w:rsidR="00F518DD" w:rsidRPr="00E41D27" w:rsidRDefault="00F518DD" w:rsidP="003E6ADC">
            <w:pPr>
              <w:rPr>
                <w:b/>
                <w:sz w:val="20"/>
                <w:szCs w:val="20"/>
              </w:rPr>
            </w:pPr>
            <w:r w:rsidRPr="00E41D27">
              <w:rPr>
                <w:b/>
                <w:sz w:val="20"/>
                <w:szCs w:val="20"/>
              </w:rPr>
              <w:t>Fonds</w:t>
            </w:r>
          </w:p>
        </w:tc>
        <w:tc>
          <w:tcPr>
            <w:tcW w:w="12336" w:type="dxa"/>
          </w:tcPr>
          <w:p w14:paraId="2BF54FBE" w14:textId="77777777" w:rsidR="00F518DD" w:rsidRPr="00E41D27" w:rsidRDefault="00F518DD" w:rsidP="003E6ADC">
            <w:pPr>
              <w:rPr>
                <w:sz w:val="20"/>
                <w:szCs w:val="20"/>
              </w:rPr>
            </w:pPr>
            <w:r w:rsidRPr="00E41D27">
              <w:rPr>
                <w:sz w:val="20"/>
                <w:szCs w:val="20"/>
              </w:rPr>
              <w:t>Sabiedrība ar ierobežotu atbildību “Vides investīciju fonds”</w:t>
            </w:r>
          </w:p>
        </w:tc>
      </w:tr>
      <w:tr w:rsidR="00F518DD" w:rsidRPr="00E41D27" w14:paraId="22DDA7BD" w14:textId="77777777" w:rsidTr="003E6ADC">
        <w:tc>
          <w:tcPr>
            <w:tcW w:w="2290" w:type="dxa"/>
          </w:tcPr>
          <w:p w14:paraId="2820256E" w14:textId="77777777" w:rsidR="00F518DD" w:rsidRPr="00E41D27" w:rsidRDefault="00F518DD" w:rsidP="003E6ADC">
            <w:pPr>
              <w:rPr>
                <w:b/>
                <w:sz w:val="20"/>
                <w:szCs w:val="20"/>
              </w:rPr>
            </w:pPr>
            <w:r w:rsidRPr="00E41D27">
              <w:rPr>
                <w:b/>
                <w:sz w:val="20"/>
                <w:szCs w:val="20"/>
              </w:rPr>
              <w:t>EKII</w:t>
            </w:r>
          </w:p>
        </w:tc>
        <w:tc>
          <w:tcPr>
            <w:tcW w:w="12336" w:type="dxa"/>
          </w:tcPr>
          <w:p w14:paraId="7448AB39" w14:textId="77777777" w:rsidR="00F518DD" w:rsidRPr="00E41D27" w:rsidRDefault="00F518DD" w:rsidP="003E6ADC">
            <w:pPr>
              <w:rPr>
                <w:sz w:val="20"/>
                <w:szCs w:val="20"/>
              </w:rPr>
            </w:pPr>
            <w:r w:rsidRPr="00E41D27">
              <w:rPr>
                <w:sz w:val="20"/>
                <w:szCs w:val="20"/>
              </w:rPr>
              <w:t>Emisijas kvotu izsolīšanas instruments (turpmāk tekstā arī – finanšu instruments)</w:t>
            </w:r>
          </w:p>
        </w:tc>
      </w:tr>
      <w:tr w:rsidR="00F518DD" w:rsidRPr="00E41D27" w14:paraId="2532530E" w14:textId="77777777" w:rsidTr="003E6ADC">
        <w:tc>
          <w:tcPr>
            <w:tcW w:w="2290" w:type="dxa"/>
          </w:tcPr>
          <w:p w14:paraId="2C78C538" w14:textId="77777777" w:rsidR="00F518DD" w:rsidRPr="00E41D27" w:rsidRDefault="00F518DD" w:rsidP="003E6ADC">
            <w:pPr>
              <w:rPr>
                <w:b/>
                <w:sz w:val="20"/>
                <w:szCs w:val="20"/>
              </w:rPr>
            </w:pPr>
            <w:r w:rsidRPr="00E41D27">
              <w:rPr>
                <w:b/>
                <w:sz w:val="20"/>
                <w:szCs w:val="20"/>
              </w:rPr>
              <w:t>MK</w:t>
            </w:r>
          </w:p>
        </w:tc>
        <w:tc>
          <w:tcPr>
            <w:tcW w:w="12336" w:type="dxa"/>
          </w:tcPr>
          <w:p w14:paraId="3032BABB" w14:textId="77777777" w:rsidR="00F518DD" w:rsidRPr="00E41D27" w:rsidRDefault="00F518DD" w:rsidP="003E6ADC">
            <w:pPr>
              <w:rPr>
                <w:sz w:val="20"/>
                <w:szCs w:val="20"/>
              </w:rPr>
            </w:pPr>
            <w:r w:rsidRPr="00E41D27">
              <w:rPr>
                <w:sz w:val="20"/>
                <w:szCs w:val="20"/>
              </w:rPr>
              <w:t>Ministru kabinets</w:t>
            </w:r>
          </w:p>
        </w:tc>
      </w:tr>
      <w:tr w:rsidR="00F518DD" w:rsidRPr="00E41D27" w14:paraId="3F05B155" w14:textId="77777777" w:rsidTr="003E6ADC">
        <w:tc>
          <w:tcPr>
            <w:tcW w:w="2290" w:type="dxa"/>
          </w:tcPr>
          <w:p w14:paraId="16A8FFA1" w14:textId="77777777" w:rsidR="00F518DD" w:rsidRPr="00E41D27" w:rsidRDefault="00F518DD" w:rsidP="003E6ADC">
            <w:pPr>
              <w:rPr>
                <w:b/>
                <w:sz w:val="20"/>
                <w:szCs w:val="20"/>
              </w:rPr>
            </w:pPr>
            <w:r w:rsidRPr="00E41D27">
              <w:rPr>
                <w:b/>
                <w:sz w:val="20"/>
                <w:szCs w:val="20"/>
              </w:rPr>
              <w:t>MK noteikumi Nr. 35</w:t>
            </w:r>
          </w:p>
        </w:tc>
        <w:tc>
          <w:tcPr>
            <w:tcW w:w="12336" w:type="dxa"/>
          </w:tcPr>
          <w:p w14:paraId="6C637829" w14:textId="77777777" w:rsidR="00F518DD" w:rsidRPr="00E41D27" w:rsidRDefault="00F518DD" w:rsidP="003E6ADC">
            <w:pPr>
              <w:rPr>
                <w:sz w:val="20"/>
                <w:szCs w:val="20"/>
              </w:rPr>
            </w:pPr>
            <w:r w:rsidRPr="00E41D27">
              <w:rPr>
                <w:sz w:val="20"/>
                <w:szCs w:val="20"/>
              </w:rPr>
              <w:t xml:space="preserve">Ministru kabineta 2016. gada 12. janvāra noteikumi Nr .35 “Emisijas kvotu izsolīšanas instrumenta finansēto projektu atklāta konkursa “Siltumnīcefekta gāzu emisiju samazināšana valsts nozīmes aizsargājamos arhitektūras pieminekļos” nolikums”. </w:t>
            </w:r>
            <w:hyperlink r:id="rId4" w:history="1">
              <w:r w:rsidRPr="00E41D27">
                <w:rPr>
                  <w:rStyle w:val="Hyperlink"/>
                  <w:sz w:val="20"/>
                  <w:szCs w:val="20"/>
                </w:rPr>
                <w:t>http://likumi.lv/ta/id/279830</w:t>
              </w:r>
            </w:hyperlink>
            <w:r w:rsidRPr="00E41D27">
              <w:rPr>
                <w:sz w:val="20"/>
                <w:szCs w:val="20"/>
              </w:rPr>
              <w:t xml:space="preserve"> </w:t>
            </w:r>
          </w:p>
        </w:tc>
      </w:tr>
      <w:tr w:rsidR="00F518DD" w:rsidRPr="00E41D27" w14:paraId="6B601908" w14:textId="77777777" w:rsidTr="003E6ADC">
        <w:tc>
          <w:tcPr>
            <w:tcW w:w="2290" w:type="dxa"/>
          </w:tcPr>
          <w:p w14:paraId="5870EE35" w14:textId="77777777" w:rsidR="00F518DD" w:rsidRPr="00E41D27" w:rsidRDefault="00F518DD" w:rsidP="003E6ADC">
            <w:pPr>
              <w:rPr>
                <w:b/>
                <w:sz w:val="20"/>
                <w:szCs w:val="20"/>
              </w:rPr>
            </w:pPr>
            <w:r w:rsidRPr="00E41D27">
              <w:rPr>
                <w:b/>
                <w:sz w:val="20"/>
                <w:szCs w:val="20"/>
              </w:rPr>
              <w:t>CO</w:t>
            </w:r>
            <w:r w:rsidRPr="00E41D27">
              <w:rPr>
                <w:b/>
                <w:sz w:val="20"/>
                <w:szCs w:val="20"/>
                <w:vertAlign w:val="subscript"/>
              </w:rPr>
              <w:t>2</w:t>
            </w:r>
          </w:p>
        </w:tc>
        <w:tc>
          <w:tcPr>
            <w:tcW w:w="12336" w:type="dxa"/>
          </w:tcPr>
          <w:p w14:paraId="7F6F4968" w14:textId="77777777" w:rsidR="00F518DD" w:rsidRPr="00E41D27" w:rsidRDefault="00F518DD" w:rsidP="003E6ADC">
            <w:pPr>
              <w:rPr>
                <w:sz w:val="20"/>
                <w:szCs w:val="20"/>
              </w:rPr>
            </w:pPr>
            <w:r w:rsidRPr="00E41D27">
              <w:rPr>
                <w:sz w:val="20"/>
                <w:szCs w:val="20"/>
              </w:rPr>
              <w:t>Oglekļa dioksīds</w:t>
            </w:r>
          </w:p>
        </w:tc>
      </w:tr>
      <w:tr w:rsidR="00F518DD" w:rsidRPr="00E41D27" w14:paraId="2A5FC703" w14:textId="77777777" w:rsidTr="003E6ADC">
        <w:tc>
          <w:tcPr>
            <w:tcW w:w="2290" w:type="dxa"/>
          </w:tcPr>
          <w:p w14:paraId="60AD4AA8" w14:textId="77777777" w:rsidR="00F518DD" w:rsidRPr="00E41D27" w:rsidRDefault="00F518DD" w:rsidP="003E6ADC">
            <w:pPr>
              <w:rPr>
                <w:b/>
                <w:sz w:val="20"/>
                <w:szCs w:val="20"/>
              </w:rPr>
            </w:pPr>
            <w:r w:rsidRPr="00E41D27">
              <w:rPr>
                <w:b/>
                <w:sz w:val="20"/>
                <w:szCs w:val="20"/>
              </w:rPr>
              <w:t>N/A</w:t>
            </w:r>
          </w:p>
        </w:tc>
        <w:tc>
          <w:tcPr>
            <w:tcW w:w="12336" w:type="dxa"/>
          </w:tcPr>
          <w:p w14:paraId="7315E785" w14:textId="77777777" w:rsidR="00F518DD" w:rsidRPr="00E41D27" w:rsidRDefault="00F518DD" w:rsidP="003E6ADC">
            <w:pPr>
              <w:rPr>
                <w:sz w:val="20"/>
                <w:szCs w:val="20"/>
              </w:rPr>
            </w:pPr>
            <w:r w:rsidRPr="00E41D27">
              <w:rPr>
                <w:sz w:val="20"/>
                <w:szCs w:val="20"/>
              </w:rPr>
              <w:t>Nav attiecināms</w:t>
            </w:r>
          </w:p>
        </w:tc>
      </w:tr>
    </w:tbl>
    <w:p w14:paraId="297158E9" w14:textId="5ACBE115" w:rsidR="00725839" w:rsidRDefault="00AF1ED3"/>
    <w:tbl>
      <w:tblPr>
        <w:tblStyle w:val="TableGrid"/>
        <w:tblW w:w="0" w:type="auto"/>
        <w:tblCellMar>
          <w:left w:w="28" w:type="dxa"/>
          <w:right w:w="28" w:type="dxa"/>
        </w:tblCellMar>
        <w:tblLook w:val="04A0" w:firstRow="1" w:lastRow="0" w:firstColumn="1" w:lastColumn="0" w:noHBand="0" w:noVBand="1"/>
      </w:tblPr>
      <w:tblGrid>
        <w:gridCol w:w="737"/>
        <w:gridCol w:w="6625"/>
        <w:gridCol w:w="7198"/>
      </w:tblGrid>
      <w:tr w:rsidR="00F518DD" w14:paraId="0B4DC5BA" w14:textId="77777777" w:rsidTr="00F518DD">
        <w:tc>
          <w:tcPr>
            <w:tcW w:w="737" w:type="dxa"/>
            <w:shd w:val="clear" w:color="auto" w:fill="C2D69B" w:themeFill="accent3" w:themeFillTint="99"/>
            <w:vAlign w:val="center"/>
          </w:tcPr>
          <w:p w14:paraId="5C73E9B3" w14:textId="4B8A2E9B" w:rsidR="00F518DD" w:rsidRDefault="00F518DD" w:rsidP="00F518DD">
            <w:pPr>
              <w:jc w:val="center"/>
            </w:pPr>
            <w:r w:rsidRPr="001E7C79">
              <w:rPr>
                <w:b/>
              </w:rPr>
              <w:t>Nr.p.k.</w:t>
            </w:r>
          </w:p>
        </w:tc>
        <w:tc>
          <w:tcPr>
            <w:tcW w:w="6662" w:type="dxa"/>
            <w:shd w:val="clear" w:color="auto" w:fill="C2D69B" w:themeFill="accent3" w:themeFillTint="99"/>
            <w:vAlign w:val="center"/>
          </w:tcPr>
          <w:p w14:paraId="65D96D96" w14:textId="0F2ABF83" w:rsidR="00F518DD" w:rsidRDefault="00F518DD" w:rsidP="00F518DD">
            <w:pPr>
              <w:jc w:val="both"/>
            </w:pPr>
            <w:r w:rsidRPr="001E7C79">
              <w:rPr>
                <w:b/>
              </w:rPr>
              <w:t>Jautājums</w:t>
            </w:r>
          </w:p>
        </w:tc>
        <w:tc>
          <w:tcPr>
            <w:tcW w:w="7227" w:type="dxa"/>
            <w:shd w:val="clear" w:color="auto" w:fill="C2D69B" w:themeFill="accent3" w:themeFillTint="99"/>
            <w:vAlign w:val="center"/>
          </w:tcPr>
          <w:p w14:paraId="614E1378" w14:textId="7601B7D6" w:rsidR="00F518DD" w:rsidRDefault="00F518DD" w:rsidP="00F518DD">
            <w:pPr>
              <w:jc w:val="both"/>
            </w:pPr>
            <w:r w:rsidRPr="001E7C79">
              <w:rPr>
                <w:b/>
              </w:rPr>
              <w:t>Atbilde</w:t>
            </w:r>
          </w:p>
        </w:tc>
      </w:tr>
      <w:tr w:rsidR="00F518DD" w14:paraId="04E42014" w14:textId="77777777" w:rsidTr="00F518DD">
        <w:tc>
          <w:tcPr>
            <w:tcW w:w="737" w:type="dxa"/>
          </w:tcPr>
          <w:p w14:paraId="41A72FF6" w14:textId="2C98286A" w:rsidR="00F518DD" w:rsidRDefault="00F518DD" w:rsidP="00F518DD">
            <w:pPr>
              <w:jc w:val="center"/>
            </w:pPr>
            <w:r w:rsidRPr="001E7C79">
              <w:t>1.</w:t>
            </w:r>
          </w:p>
        </w:tc>
        <w:tc>
          <w:tcPr>
            <w:tcW w:w="6662" w:type="dxa"/>
          </w:tcPr>
          <w:p w14:paraId="64534578" w14:textId="77777777" w:rsidR="00F518DD" w:rsidRPr="001E7C79" w:rsidRDefault="00F518DD" w:rsidP="00F518DD">
            <w:pPr>
              <w:jc w:val="both"/>
            </w:pPr>
            <w:r w:rsidRPr="001E7C79">
              <w:t>Vai projekta attiecināmajās izmaksās tiks iekļauti visi darbi, kas saistīti ar punktu 30. ar ēkas energoefektivitāti</w:t>
            </w:r>
          </w:p>
          <w:p w14:paraId="699CFA10" w14:textId="77777777" w:rsidR="00F518DD" w:rsidRPr="001E7C79" w:rsidRDefault="00F518DD" w:rsidP="00F518DD">
            <w:pPr>
              <w:jc w:val="both"/>
            </w:pPr>
            <w:r w:rsidRPr="001E7C79">
              <w:t xml:space="preserve">Piemēram: </w:t>
            </w:r>
          </w:p>
          <w:p w14:paraId="4632201D" w14:textId="77777777" w:rsidR="00F518DD" w:rsidRPr="001E7C79" w:rsidRDefault="00F518DD" w:rsidP="00F518DD">
            <w:pPr>
              <w:jc w:val="both"/>
              <w:rPr>
                <w:i/>
                <w:iCs/>
              </w:rPr>
            </w:pPr>
            <w:r w:rsidRPr="001E7C79">
              <w:rPr>
                <w:i/>
                <w:iCs/>
              </w:rPr>
              <w:t>Logu nomaiņa – vai attiecināmajās izmaksās ietilps arī logu demontāža, uzstādīšana vai tikai paši logi?</w:t>
            </w:r>
          </w:p>
          <w:p w14:paraId="0C06CC62" w14:textId="77777777" w:rsidR="00F518DD" w:rsidRPr="001E7C79" w:rsidRDefault="00F518DD" w:rsidP="00F518DD">
            <w:pPr>
              <w:jc w:val="both"/>
              <w:rPr>
                <w:i/>
                <w:iCs/>
              </w:rPr>
            </w:pPr>
            <w:r w:rsidRPr="001E7C79">
              <w:rPr>
                <w:i/>
                <w:iCs/>
              </w:rPr>
              <w:t>Pagraba siltināšana – vai attiecināmajās izmaksās ietilps arī zemes darbi, labiekārtošanas darbi u.c. kas saistīti ar pamatu siltināšanu vai tikai materiāli?</w:t>
            </w:r>
          </w:p>
          <w:p w14:paraId="45E7BD78" w14:textId="7BDB88E4" w:rsidR="00F518DD" w:rsidRDefault="00F518DD" w:rsidP="00F518DD">
            <w:pPr>
              <w:jc w:val="both"/>
            </w:pPr>
            <w:r w:rsidRPr="001E7C79">
              <w:rPr>
                <w:i/>
                <w:iCs/>
              </w:rPr>
              <w:t>Jumta nomaiņa – to siltinot. Dažās vietās tiek paredzēts siltināt bēniņus, dažās vietās pašu jumtu. Vai šajā gadījumā ir jādala darbus? Vai visa šī sadaļa skaitīsies attiecināma?</w:t>
            </w:r>
          </w:p>
        </w:tc>
        <w:tc>
          <w:tcPr>
            <w:tcW w:w="7227" w:type="dxa"/>
          </w:tcPr>
          <w:p w14:paraId="665C7AE9" w14:textId="301F82FF" w:rsidR="00F518DD" w:rsidRDefault="00F518DD" w:rsidP="00F518DD">
            <w:pPr>
              <w:jc w:val="both"/>
            </w:pPr>
            <w:r w:rsidRPr="001E7C79">
              <w:t xml:space="preserve">Saskaņā ar MK noteikumu Nr. 35 31.1. punktu attiecināmās ir tikai ēku energoefektivitāti paaugstinošu būvdarbu izmaksas. Neattiecināmas ir </w:t>
            </w:r>
            <w:r w:rsidRPr="001E7C79">
              <w:rPr>
                <w:b/>
                <w:bCs/>
              </w:rPr>
              <w:t>izmaksas, kas nav tieši saistītas ar atbalstāmo aktivitāti</w:t>
            </w:r>
            <w:r w:rsidRPr="001E7C79">
              <w:t>. Piemēros norādītās izmaksas ir uzskatāmas, ka ir saistītas ar attiecināmām izmaksām, ja vienlaikus tie  uzlabota ēku energoefektivitāte.</w:t>
            </w:r>
          </w:p>
        </w:tc>
      </w:tr>
      <w:tr w:rsidR="00F518DD" w14:paraId="61823D29" w14:textId="77777777" w:rsidTr="00F518DD">
        <w:tc>
          <w:tcPr>
            <w:tcW w:w="737" w:type="dxa"/>
          </w:tcPr>
          <w:p w14:paraId="3EAF542A" w14:textId="43F14754" w:rsidR="00F518DD" w:rsidRDefault="00F518DD" w:rsidP="00F518DD">
            <w:pPr>
              <w:jc w:val="center"/>
            </w:pPr>
            <w:r w:rsidRPr="001E7C79">
              <w:t>2.</w:t>
            </w:r>
          </w:p>
        </w:tc>
        <w:tc>
          <w:tcPr>
            <w:tcW w:w="6662" w:type="dxa"/>
          </w:tcPr>
          <w:p w14:paraId="673CB23C" w14:textId="1A4A416D" w:rsidR="00F518DD" w:rsidRDefault="00F518DD" w:rsidP="00F518DD">
            <w:pPr>
              <w:jc w:val="both"/>
            </w:pPr>
            <w:r w:rsidRPr="001E7C79">
              <w:t>Vai trepju atjaunošana ir pieskaitāma pie punkta 31.2? Ja tās vēsturiski atjauno dēļ sliktā stāvokļa?</w:t>
            </w:r>
          </w:p>
        </w:tc>
        <w:tc>
          <w:tcPr>
            <w:tcW w:w="7227" w:type="dxa"/>
          </w:tcPr>
          <w:p w14:paraId="1E8EA5FA" w14:textId="2DBCB942" w:rsidR="00F518DD" w:rsidRDefault="00F518DD" w:rsidP="00F518DD">
            <w:pPr>
              <w:jc w:val="both"/>
            </w:pPr>
            <w:r w:rsidRPr="001E7C79">
              <w:t>Ir attiecināmas trepju restaurācijas izmaksas, lai nodrošinātu ēkas sākotnējo arhitektonisko detaļu vizuālo un tehnisko stāvokli un ja to pieprasa Nacionālās kultūras mantojuma pārvalde</w:t>
            </w:r>
          </w:p>
        </w:tc>
      </w:tr>
      <w:tr w:rsidR="00F518DD" w14:paraId="78046E87" w14:textId="77777777" w:rsidTr="00F518DD">
        <w:tc>
          <w:tcPr>
            <w:tcW w:w="737" w:type="dxa"/>
          </w:tcPr>
          <w:p w14:paraId="5C7149D3" w14:textId="3C1BD778" w:rsidR="00F518DD" w:rsidRDefault="00F518DD" w:rsidP="00F518DD">
            <w:pPr>
              <w:jc w:val="center"/>
            </w:pPr>
            <w:r w:rsidRPr="001E7C79">
              <w:t>3.</w:t>
            </w:r>
          </w:p>
        </w:tc>
        <w:tc>
          <w:tcPr>
            <w:tcW w:w="6662" w:type="dxa"/>
          </w:tcPr>
          <w:p w14:paraId="012A0E21" w14:textId="1325DCCE" w:rsidR="00F518DD" w:rsidRDefault="00F518DD" w:rsidP="00F518DD">
            <w:pPr>
              <w:jc w:val="both"/>
            </w:pPr>
            <w:r w:rsidRPr="001E7C79">
              <w:t>Ja Nacionālā Kultūras mantojuma pārvalde pieprasa koka logus, vai tas iekļaujas attiecināmajās izmaksās (punkts 30.) , vai tie attieksies uz punktu 31.2/ 33.1? Tas pats attiecas uz durvīm. Tiek pieprasītas koka durvis.</w:t>
            </w:r>
          </w:p>
        </w:tc>
        <w:tc>
          <w:tcPr>
            <w:tcW w:w="7227" w:type="dxa"/>
          </w:tcPr>
          <w:p w14:paraId="456CBFBC" w14:textId="2E9485E1" w:rsidR="00F518DD" w:rsidRDefault="00F518DD" w:rsidP="00F518DD">
            <w:pPr>
              <w:jc w:val="both"/>
            </w:pPr>
            <w:r w:rsidRPr="001E7C79">
              <w:t>Ja veicot logu un durvju nomaiņu uzlabosies ēkas energoefektivitāte, tad tās būs attiecināmas MK noteikumu Nr. 35 31.1. apakšpunkta pozīcijā. Ja ēkas energoefektivitāte neuzlabojas minēto pasākumu rezultātā, tad tās būs attiecināmas MK noteikumu Nr. 35 31.2. apakšpunkta pozīcijā.</w:t>
            </w:r>
          </w:p>
        </w:tc>
      </w:tr>
      <w:tr w:rsidR="00F518DD" w14:paraId="243A24E8" w14:textId="77777777" w:rsidTr="00F518DD">
        <w:tc>
          <w:tcPr>
            <w:tcW w:w="737" w:type="dxa"/>
          </w:tcPr>
          <w:p w14:paraId="5D11378A" w14:textId="12E0E7AD" w:rsidR="00F518DD" w:rsidRDefault="00F518DD" w:rsidP="00F518DD">
            <w:pPr>
              <w:jc w:val="center"/>
            </w:pPr>
            <w:r w:rsidRPr="001E7C79">
              <w:t>4.</w:t>
            </w:r>
          </w:p>
        </w:tc>
        <w:tc>
          <w:tcPr>
            <w:tcW w:w="6662" w:type="dxa"/>
          </w:tcPr>
          <w:p w14:paraId="788C84C4" w14:textId="592490A4" w:rsidR="00F518DD" w:rsidRDefault="00F518DD" w:rsidP="00F518DD">
            <w:pPr>
              <w:jc w:val="both"/>
            </w:pPr>
            <w:r w:rsidRPr="001E7C79">
              <w:t>Kāds dokuments jāpievieno, lai pierādītu būves klasifikācijas kodu?</w:t>
            </w:r>
          </w:p>
        </w:tc>
        <w:tc>
          <w:tcPr>
            <w:tcW w:w="7227" w:type="dxa"/>
          </w:tcPr>
          <w:p w14:paraId="41CE5906" w14:textId="6ACDD7A4" w:rsidR="00F518DD" w:rsidRDefault="00F518DD" w:rsidP="00F518DD">
            <w:pPr>
              <w:jc w:val="both"/>
            </w:pPr>
            <w:r w:rsidRPr="001E7C79">
              <w:t xml:space="preserve">Dokuments nav jāpievieno, informācija ir publiski pieejama </w:t>
            </w:r>
            <w:hyperlink r:id="rId5" w:history="1">
              <w:r w:rsidRPr="001E7C79">
                <w:rPr>
                  <w:rStyle w:val="Hyperlink"/>
                </w:rPr>
                <w:t>www.kadastrs.lv</w:t>
              </w:r>
            </w:hyperlink>
            <w:r w:rsidRPr="001E7C79">
              <w:t xml:space="preserve"> </w:t>
            </w:r>
          </w:p>
        </w:tc>
      </w:tr>
      <w:tr w:rsidR="00F518DD" w14:paraId="2A86D502" w14:textId="77777777" w:rsidTr="00F518DD">
        <w:tc>
          <w:tcPr>
            <w:tcW w:w="737" w:type="dxa"/>
          </w:tcPr>
          <w:p w14:paraId="65A69712" w14:textId="75D69647" w:rsidR="00F518DD" w:rsidRDefault="00F518DD" w:rsidP="00F518DD">
            <w:pPr>
              <w:jc w:val="center"/>
            </w:pPr>
            <w:r w:rsidRPr="001E7C79">
              <w:t>5.</w:t>
            </w:r>
          </w:p>
        </w:tc>
        <w:tc>
          <w:tcPr>
            <w:tcW w:w="6662" w:type="dxa"/>
          </w:tcPr>
          <w:p w14:paraId="42FE6F9F" w14:textId="44500A9E" w:rsidR="00F518DD" w:rsidRDefault="00F518DD" w:rsidP="00F518DD">
            <w:pPr>
              <w:jc w:val="both"/>
            </w:pPr>
            <w:r w:rsidRPr="001E7C79">
              <w:t xml:space="preserve">Ja siltinot ēku tiek bojāta vēsturiskā fasāde, uzstādīta lietus ūdeņu noteku sistēma utt. vai fasādes atjaunošanas darbi tiks piemēroti punktam 30. (kā </w:t>
            </w:r>
            <w:r w:rsidRPr="001E7C79">
              <w:lastRenderedPageBreak/>
              <w:t>attiecināmās izmaksas) vai 31.2/33.1 (vai tiks iekļauts noteiktajā 15% barjerā)? Ja tajā skaitā ir arhitektoniskās detaļas?</w:t>
            </w:r>
          </w:p>
        </w:tc>
        <w:tc>
          <w:tcPr>
            <w:tcW w:w="7227" w:type="dxa"/>
          </w:tcPr>
          <w:p w14:paraId="360CF7AF" w14:textId="4DB42DBC" w:rsidR="00F518DD" w:rsidRDefault="00F518DD" w:rsidP="00F518DD">
            <w:pPr>
              <w:jc w:val="both"/>
            </w:pPr>
            <w:r w:rsidRPr="001E7C79">
              <w:lastRenderedPageBreak/>
              <w:t>Minētās izmaksas ir attiecināmas MK noteikumu Nr. 35 31.2. apakšpunkta pozīcijā.</w:t>
            </w:r>
          </w:p>
        </w:tc>
      </w:tr>
      <w:tr w:rsidR="00F518DD" w14:paraId="4EF981B5" w14:textId="77777777" w:rsidTr="00F518DD">
        <w:tc>
          <w:tcPr>
            <w:tcW w:w="737" w:type="dxa"/>
          </w:tcPr>
          <w:p w14:paraId="11A67ECD" w14:textId="144B5313" w:rsidR="00F518DD" w:rsidRDefault="00F518DD" w:rsidP="00F518DD">
            <w:pPr>
              <w:jc w:val="center"/>
            </w:pPr>
            <w:r w:rsidRPr="001E7C79">
              <w:t>6.</w:t>
            </w:r>
          </w:p>
        </w:tc>
        <w:tc>
          <w:tcPr>
            <w:tcW w:w="6662" w:type="dxa"/>
          </w:tcPr>
          <w:p w14:paraId="3B5B467B" w14:textId="28BEC836" w:rsidR="00F518DD" w:rsidRDefault="00F518DD" w:rsidP="00F518DD">
            <w:pPr>
              <w:jc w:val="both"/>
            </w:pPr>
            <w:r w:rsidRPr="001E7C79">
              <w:t>Punkts 31.6 vai tie ir domāti viedie skaitītāji, vai uz to jāskatās plašāk? Vai tajā iekļaujas CO</w:t>
            </w:r>
            <w:r w:rsidRPr="001E7C79">
              <w:rPr>
                <w:vertAlign w:val="subscript"/>
              </w:rPr>
              <w:t>2</w:t>
            </w:r>
            <w:r w:rsidRPr="001E7C79">
              <w:t xml:space="preserve"> mērītāji un katra radiatora viedās regulēšanas sistēmai nepieciešamās iekārtas?</w:t>
            </w:r>
          </w:p>
        </w:tc>
        <w:tc>
          <w:tcPr>
            <w:tcW w:w="7227" w:type="dxa"/>
          </w:tcPr>
          <w:p w14:paraId="37ABA584" w14:textId="3A137DF5" w:rsidR="00F518DD" w:rsidRDefault="00F518DD" w:rsidP="00F518DD">
            <w:pPr>
              <w:jc w:val="both"/>
            </w:pPr>
            <w:r w:rsidRPr="001E7C79">
              <w:t>MK noteikumu Nr. 35 31.6. apakšpunkta pozīcijā attiecināmi ir gan viedie skaitītāji gan radiatora viedās regulēšanas sistēmas gan CO</w:t>
            </w:r>
            <w:r w:rsidRPr="001E7C79">
              <w:rPr>
                <w:vertAlign w:val="subscript"/>
              </w:rPr>
              <w:t>2</w:t>
            </w:r>
            <w:r w:rsidRPr="001E7C79">
              <w:t xml:space="preserve"> mērītāji, ja tie sekmē enerģijas patēriņa kontroli un samazinājumu.</w:t>
            </w:r>
          </w:p>
        </w:tc>
      </w:tr>
      <w:tr w:rsidR="00F518DD" w14:paraId="6AB87C09" w14:textId="77777777" w:rsidTr="00F518DD">
        <w:tc>
          <w:tcPr>
            <w:tcW w:w="737" w:type="dxa"/>
          </w:tcPr>
          <w:p w14:paraId="440CEFF5" w14:textId="18D3FEA4" w:rsidR="00F518DD" w:rsidRDefault="00F518DD" w:rsidP="00F518DD">
            <w:pPr>
              <w:jc w:val="center"/>
            </w:pPr>
            <w:r w:rsidRPr="001E7C79">
              <w:t>7.</w:t>
            </w:r>
          </w:p>
        </w:tc>
        <w:tc>
          <w:tcPr>
            <w:tcW w:w="6662" w:type="dxa"/>
          </w:tcPr>
          <w:p w14:paraId="3F5E7287" w14:textId="17DC9CDE" w:rsidR="00F518DD" w:rsidRDefault="00F518DD" w:rsidP="00F518DD">
            <w:pPr>
              <w:jc w:val="both"/>
            </w:pPr>
            <w:r w:rsidRPr="001E7C79">
              <w:t>Ja tiek atjaunots siltummezgls, kas jau ir pieslēgts centralizētajai siltumapgādes sistēmai attiecas uz punktu 30. vai tas tomēr attieksies uz punktu 31.9.</w:t>
            </w:r>
            <w:r w:rsidRPr="001E7C79">
              <w:rPr>
                <w:vertAlign w:val="superscript"/>
              </w:rPr>
              <w:t>1</w:t>
            </w:r>
            <w:r w:rsidRPr="001E7C79">
              <w:t xml:space="preserve"> un nebūs attiecināms?</w:t>
            </w:r>
          </w:p>
        </w:tc>
        <w:tc>
          <w:tcPr>
            <w:tcW w:w="7227" w:type="dxa"/>
          </w:tcPr>
          <w:p w14:paraId="057AA879" w14:textId="77777777" w:rsidR="00F518DD" w:rsidRPr="001E7C79" w:rsidRDefault="00F518DD" w:rsidP="00F518DD">
            <w:pPr>
              <w:jc w:val="both"/>
            </w:pPr>
            <w:r w:rsidRPr="001E7C79">
              <w:t>Ja ēka jau ir pieslēgta centralizētajai siltumapgādei, tad projektā nebūs attiecināmās izmaksas MK noteikumu Nr. 35 31.9.</w:t>
            </w:r>
            <w:r w:rsidRPr="001E7C79">
              <w:rPr>
                <w:vertAlign w:val="superscript"/>
              </w:rPr>
              <w:t>1</w:t>
            </w:r>
            <w:r w:rsidRPr="001E7C79">
              <w:t xml:space="preserve"> apakšpunkta pozīcijā.</w:t>
            </w:r>
          </w:p>
          <w:p w14:paraId="255C8DCB" w14:textId="4D9DE9CC" w:rsidR="00F518DD" w:rsidRDefault="00F518DD" w:rsidP="00F518DD">
            <w:pPr>
              <w:jc w:val="both"/>
            </w:pPr>
            <w:r w:rsidRPr="001E7C79">
              <w:t>Siltummezgla atjaunošanas izmaksas ir attiecināmas tikai tad, ja tās ir saistītas ar enerģijas ietaupījumu un CO</w:t>
            </w:r>
            <w:r w:rsidRPr="001E7C79">
              <w:rPr>
                <w:vertAlign w:val="subscript"/>
              </w:rPr>
              <w:t>2</w:t>
            </w:r>
            <w:r w:rsidRPr="001E7C79">
              <w:t xml:space="preserve"> emisijas samazinājumu un tad ir attiecināmas MK noteikumu Nr. 35 31.7. apakšpunkta pozīcijā</w:t>
            </w:r>
          </w:p>
        </w:tc>
      </w:tr>
      <w:tr w:rsidR="00F518DD" w14:paraId="4845669D" w14:textId="77777777" w:rsidTr="00F518DD">
        <w:tc>
          <w:tcPr>
            <w:tcW w:w="737" w:type="dxa"/>
          </w:tcPr>
          <w:p w14:paraId="427B5690" w14:textId="3E1F07A8" w:rsidR="00F518DD" w:rsidRDefault="00F518DD" w:rsidP="00F518DD">
            <w:pPr>
              <w:jc w:val="center"/>
            </w:pPr>
            <w:r w:rsidRPr="001E7C79">
              <w:t>8.</w:t>
            </w:r>
          </w:p>
        </w:tc>
        <w:tc>
          <w:tcPr>
            <w:tcW w:w="6662" w:type="dxa"/>
          </w:tcPr>
          <w:p w14:paraId="10B49E5E" w14:textId="47759BFC" w:rsidR="00F518DD" w:rsidRDefault="00F518DD" w:rsidP="00F518DD">
            <w:pPr>
              <w:jc w:val="both"/>
            </w:pPr>
            <w:r w:rsidRPr="001E7C79">
              <w:t>Punkts 31.10. sasaucoties ar 36.2, 36.3, 37.3</w:t>
            </w:r>
            <w:r w:rsidRPr="001E7C79">
              <w:rPr>
                <w:vertAlign w:val="superscript"/>
              </w:rPr>
              <w:t>1</w:t>
            </w:r>
            <w:r w:rsidRPr="001E7C79">
              <w:t xml:space="preserve"> -  nevar izprast, kurā momentā projekta izstrādes izmaksas ir attiecināmas? No kura datuma noslēgtie līgumi tiks pieskaitīti pie attiecināmajām izmaksām?</w:t>
            </w:r>
          </w:p>
        </w:tc>
        <w:tc>
          <w:tcPr>
            <w:tcW w:w="7227" w:type="dxa"/>
          </w:tcPr>
          <w:p w14:paraId="7C2C3DA2" w14:textId="05EDF83A" w:rsidR="00F518DD" w:rsidRDefault="00F518DD" w:rsidP="00F518DD">
            <w:pPr>
              <w:jc w:val="both"/>
            </w:pPr>
            <w:r w:rsidRPr="001E7C79">
              <w:t>Izmaksu attiecināmību sākuma periodu ierobežo MK noteikumu Nr. 35 37.3. apakšpunkti un ir atšķirīgi atkarībā no projekta iesniedzēja darbības formas un lieluma.</w:t>
            </w:r>
          </w:p>
        </w:tc>
      </w:tr>
      <w:tr w:rsidR="00F518DD" w14:paraId="29FCBBEA" w14:textId="77777777" w:rsidTr="00F518DD">
        <w:tc>
          <w:tcPr>
            <w:tcW w:w="737" w:type="dxa"/>
          </w:tcPr>
          <w:p w14:paraId="297E6B21" w14:textId="15588F35" w:rsidR="00F518DD" w:rsidRDefault="00F518DD" w:rsidP="00F518DD">
            <w:pPr>
              <w:jc w:val="center"/>
            </w:pPr>
            <w:r w:rsidRPr="001E7C79">
              <w:t>9.</w:t>
            </w:r>
          </w:p>
        </w:tc>
        <w:tc>
          <w:tcPr>
            <w:tcW w:w="6662" w:type="dxa"/>
          </w:tcPr>
          <w:p w14:paraId="71E09F83" w14:textId="017A9855" w:rsidR="00F518DD" w:rsidRDefault="00F518DD" w:rsidP="00F518DD">
            <w:pPr>
              <w:jc w:val="both"/>
            </w:pPr>
            <w:r w:rsidRPr="001E7C79">
              <w:t>Vai projekta realizācijas laikā noslēgtie līgumi (tirgus izpētes rezultātā), kas netika norādīti iesniegumā arī tiks ieskaitīti attiecināmajās izmaksās?</w:t>
            </w:r>
          </w:p>
        </w:tc>
        <w:tc>
          <w:tcPr>
            <w:tcW w:w="7227" w:type="dxa"/>
          </w:tcPr>
          <w:p w14:paraId="51544C37" w14:textId="5732B192" w:rsidR="00F518DD" w:rsidRDefault="00F518DD" w:rsidP="00F518DD">
            <w:pPr>
              <w:jc w:val="both"/>
            </w:pPr>
            <w:r w:rsidRPr="001E7C79">
              <w:t>Projekta iesnieguma iesniedzējam ir tiesības projekta izmaksu tāmē iekļaut finanšu rezervi ievērojot MK noteikumu Nr.35 34.punkta nosacījumu.  Finanšu rezerve, kas radusies tehnoloģiju iegādes, piegādes, būvniecības, uzstādīšanas vai ieregulēšanas gaitā vai būvdarbu gaitā un atbilst attiecināmo izmaksu definīcijai, projekta ieviešanas laikā, grozot projekta īstenošanas līgumu var būt iekļautas projekta attiecināmajās izmaksās, ja sākotnējā projekta iesnieguma projekta iesnieguma veidlapas sadaļā “5.2. Aktivitāšu izmaksu kopsavilkums” ir aizpildīta “finanšu rezerve” pozīcija, paredzot  neparedzēto izmaksu apmēru kā attiecināmās izmaksas</w:t>
            </w:r>
          </w:p>
        </w:tc>
      </w:tr>
      <w:tr w:rsidR="00F518DD" w14:paraId="731776FE" w14:textId="77777777" w:rsidTr="00F518DD">
        <w:tc>
          <w:tcPr>
            <w:tcW w:w="737" w:type="dxa"/>
          </w:tcPr>
          <w:p w14:paraId="5FC1C2FE" w14:textId="4ED30CD3" w:rsidR="00F518DD" w:rsidRDefault="00F518DD" w:rsidP="00F518DD">
            <w:pPr>
              <w:jc w:val="center"/>
            </w:pPr>
            <w:r w:rsidRPr="001E7C79">
              <w:t>10.</w:t>
            </w:r>
          </w:p>
        </w:tc>
        <w:tc>
          <w:tcPr>
            <w:tcW w:w="6662" w:type="dxa"/>
          </w:tcPr>
          <w:p w14:paraId="276272F3" w14:textId="119FD758" w:rsidR="00F518DD" w:rsidRDefault="00F518DD" w:rsidP="00F518DD">
            <w:pPr>
              <w:jc w:val="both"/>
            </w:pPr>
            <w:r w:rsidRPr="001E7C79">
              <w:t>Kā skaidrojams punkts 33.</w:t>
            </w:r>
            <w:r w:rsidRPr="001E7C79">
              <w:rPr>
                <w:vertAlign w:val="superscript"/>
              </w:rPr>
              <w:t>2</w:t>
            </w:r>
            <w:r w:rsidRPr="001E7C79">
              <w:t>? Kas ir augstāks vides aizsardzības līmenis?</w:t>
            </w:r>
          </w:p>
        </w:tc>
        <w:tc>
          <w:tcPr>
            <w:tcW w:w="7227" w:type="dxa"/>
          </w:tcPr>
          <w:p w14:paraId="06E0A49B" w14:textId="3C14F288" w:rsidR="00F518DD" w:rsidRDefault="00F518DD" w:rsidP="00F518DD">
            <w:pPr>
              <w:jc w:val="both"/>
            </w:pPr>
            <w:r w:rsidRPr="001E7C79">
              <w:t>Saskaņā ar Komisijas regulu, augstāku vides aizsardzības līmeni var panākt ar ieguldījumiem, kuri vērsti uz obligāto Eiropas Savienības standartu pārsniegšanu.</w:t>
            </w:r>
          </w:p>
        </w:tc>
      </w:tr>
      <w:tr w:rsidR="00F518DD" w14:paraId="4726C7E9" w14:textId="77777777" w:rsidTr="00F518DD">
        <w:tc>
          <w:tcPr>
            <w:tcW w:w="737" w:type="dxa"/>
          </w:tcPr>
          <w:p w14:paraId="72F329D4" w14:textId="0AA921A7" w:rsidR="00F518DD" w:rsidRDefault="00F518DD" w:rsidP="00F518DD">
            <w:pPr>
              <w:jc w:val="center"/>
            </w:pPr>
            <w:r w:rsidRPr="001E7C79">
              <w:t>11.</w:t>
            </w:r>
          </w:p>
        </w:tc>
        <w:tc>
          <w:tcPr>
            <w:tcW w:w="6662" w:type="dxa"/>
          </w:tcPr>
          <w:p w14:paraId="7598A139" w14:textId="157CB9C5" w:rsidR="00F518DD" w:rsidRDefault="00F518DD" w:rsidP="00F518DD">
            <w:pPr>
              <w:jc w:val="both"/>
            </w:pPr>
            <w:r w:rsidRPr="001E7C79">
              <w:t>Punkts 37.7. Vai darbu gaitā mainoties paredzēto apjomu/izmaksu apmēriem tie netiks ņemti vērā? Tikai tik cik projekts iesniegumā norādīts?</w:t>
            </w:r>
          </w:p>
        </w:tc>
        <w:tc>
          <w:tcPr>
            <w:tcW w:w="7227" w:type="dxa"/>
          </w:tcPr>
          <w:p w14:paraId="7B6E079B" w14:textId="6CEF7396" w:rsidR="00F518DD" w:rsidRDefault="00F518DD" w:rsidP="00F518DD">
            <w:pPr>
              <w:jc w:val="both"/>
            </w:pPr>
            <w:r w:rsidRPr="001E7C79">
              <w:t>Projekta iesnieguma iesniedzējam ir tiesības projekta izmaksu tāmē iekļaut finanšu rezervi ievērojot MK noteikumu Nr.35 34.punkta nosacījumu, pirms tam saskaņojot ar Fondu. Norādām, ka papildus EKII finansējums nav paredzēts, ka projekta realizācijas laikā pieaug apjoms/izmaksas.</w:t>
            </w:r>
          </w:p>
        </w:tc>
      </w:tr>
      <w:tr w:rsidR="00F518DD" w14:paraId="61BA7FA8" w14:textId="77777777" w:rsidTr="00F518DD">
        <w:tc>
          <w:tcPr>
            <w:tcW w:w="737" w:type="dxa"/>
          </w:tcPr>
          <w:p w14:paraId="35D00033" w14:textId="39322419" w:rsidR="00F518DD" w:rsidRDefault="00F518DD" w:rsidP="00F518DD">
            <w:pPr>
              <w:jc w:val="center"/>
            </w:pPr>
            <w:r w:rsidRPr="001E7C79">
              <w:t>12.</w:t>
            </w:r>
          </w:p>
        </w:tc>
        <w:tc>
          <w:tcPr>
            <w:tcW w:w="6662" w:type="dxa"/>
          </w:tcPr>
          <w:p w14:paraId="07A4741B" w14:textId="539FAE6B" w:rsidR="00F518DD" w:rsidRDefault="00F518DD" w:rsidP="00F518DD">
            <w:pPr>
              <w:jc w:val="both"/>
            </w:pPr>
            <w:r w:rsidRPr="001E7C79">
              <w:t>Punkts 37.14. Lūdzu skaidrot. Vai pareizi saprotu, Attiecināmās izmaksas būs tikai tās labiekārtošanas izmaksas, kas saistītas ar esošā stāvokļa atjaunošanu? Vai tas saprotams, ka esošā stāvlaukuma atjaunošana ir attiecināmā izmaksa?</w:t>
            </w:r>
          </w:p>
        </w:tc>
        <w:tc>
          <w:tcPr>
            <w:tcW w:w="7227" w:type="dxa"/>
          </w:tcPr>
          <w:p w14:paraId="4B06DF8A" w14:textId="2FF328D2" w:rsidR="00F518DD" w:rsidRDefault="00F518DD" w:rsidP="00F518DD">
            <w:pPr>
              <w:jc w:val="both"/>
            </w:pPr>
            <w:r w:rsidRPr="001E7C79">
              <w:t xml:space="preserve">Labiekārtošanas izmaksas ir attiecināmas, lai atjaunotu iepriekšējo stāvokli ēkai pieguļošā teritorijā, kas projekta realizācijas laikā tiek pasliktināta. Piemēram, lai siltinātu ēkas cokolu, tiek noņemts segums ap to 3 metru joslā. Pēc darbu pabeigšanas izmaksas šīs joslas atjaunošanai ir attiecināmas. Esošā stāvlaukuma atjaunošana ir attiecināma tikai tajos gadījumos, ja projekta realizācijas gaitā ir paredzētas aktivitātes, kas tieši pasliktina stāvlaukuma stāvokli. </w:t>
            </w:r>
          </w:p>
        </w:tc>
      </w:tr>
      <w:tr w:rsidR="00F518DD" w14:paraId="424AEA44" w14:textId="77777777" w:rsidTr="00F518DD">
        <w:tc>
          <w:tcPr>
            <w:tcW w:w="737" w:type="dxa"/>
          </w:tcPr>
          <w:p w14:paraId="4AC037A8" w14:textId="1E71D3FD" w:rsidR="00F518DD" w:rsidRDefault="00F518DD" w:rsidP="00F518DD">
            <w:pPr>
              <w:jc w:val="center"/>
            </w:pPr>
            <w:r w:rsidRPr="001E7C79">
              <w:t>13.</w:t>
            </w:r>
          </w:p>
        </w:tc>
        <w:tc>
          <w:tcPr>
            <w:tcW w:w="6662" w:type="dxa"/>
          </w:tcPr>
          <w:p w14:paraId="4B2409E3" w14:textId="0FDE4045" w:rsidR="00F518DD" w:rsidRDefault="00F518DD" w:rsidP="00F518DD">
            <w:pPr>
              <w:jc w:val="both"/>
            </w:pPr>
            <w:r w:rsidRPr="001E7C79">
              <w:t>Punkts 41.2.5. Vai atzinums ir tas pats, kas saskaņojums  BIS sistēmā?</w:t>
            </w:r>
          </w:p>
        </w:tc>
        <w:tc>
          <w:tcPr>
            <w:tcW w:w="7227" w:type="dxa"/>
          </w:tcPr>
          <w:p w14:paraId="409C2BD9" w14:textId="5C5442C0" w:rsidR="00F518DD" w:rsidRDefault="00F518DD" w:rsidP="00F518DD">
            <w:pPr>
              <w:jc w:val="both"/>
            </w:pPr>
            <w:r w:rsidRPr="001E7C79">
              <w:t xml:space="preserve">MK noteikumu Nr. 35 41.2.5. apakšpunkts nosaka prasību iesniegt Nacionālās kultūras mantojuma pārvaldes atzinumu, kas apliecina, ka iecerētais projekts atbilst kultūras pieminekļu aizsardzības prasībām. Norādām, ka pieteikties var ar </w:t>
            </w:r>
            <w:r w:rsidRPr="001E7C79">
              <w:lastRenderedPageBreak/>
              <w:t xml:space="preserve">projektu, kuram nav izstrādāta  būvniecības iecere, taču obligāti ir jāpievieno nacionālās kultūras mantojuma pārvaldes atzinums, kas apliecina, ka iecerētais projekts atbilst kultūras pieminekļu aizsardzības prasībām. </w:t>
            </w:r>
          </w:p>
        </w:tc>
      </w:tr>
      <w:tr w:rsidR="00F518DD" w14:paraId="6263B78C" w14:textId="77777777" w:rsidTr="00F518DD">
        <w:tc>
          <w:tcPr>
            <w:tcW w:w="737" w:type="dxa"/>
          </w:tcPr>
          <w:p w14:paraId="4F0A02A7" w14:textId="2791959F" w:rsidR="00F518DD" w:rsidRDefault="00F518DD" w:rsidP="00F518DD">
            <w:pPr>
              <w:jc w:val="center"/>
            </w:pPr>
            <w:r w:rsidRPr="001E7C79">
              <w:lastRenderedPageBreak/>
              <w:t>14.</w:t>
            </w:r>
          </w:p>
        </w:tc>
        <w:tc>
          <w:tcPr>
            <w:tcW w:w="6662" w:type="dxa"/>
          </w:tcPr>
          <w:p w14:paraId="4E14933D" w14:textId="1725AE62" w:rsidR="00F518DD" w:rsidRDefault="00F518DD" w:rsidP="00F518DD">
            <w:pPr>
              <w:jc w:val="both"/>
            </w:pPr>
            <w:r w:rsidRPr="001E7C79">
              <w:t>Punkts 41.2.6. (darbības plāns) Cik detalizēti to nepieciešams izstrādāt? Kas iekļaujams SVID analīzē (Punkts 41.2.6.3.)? Vai šo darbības plānu paraksta pasūtītājs?</w:t>
            </w:r>
          </w:p>
        </w:tc>
        <w:tc>
          <w:tcPr>
            <w:tcW w:w="7227" w:type="dxa"/>
          </w:tcPr>
          <w:p w14:paraId="1B9FB33B" w14:textId="77777777" w:rsidR="00F518DD" w:rsidRPr="001E7C79" w:rsidRDefault="00F518DD" w:rsidP="00F518DD">
            <w:pPr>
              <w:jc w:val="both"/>
            </w:pPr>
            <w:r w:rsidRPr="001E7C79">
              <w:t xml:space="preserve">Valsts nozīmes arhitektūras pieminekļa darbības plānu apstiprina projekta iesniedzējs. Nav noteikta detalizācijas pakāpe, taču aicinājums ir to izstrādāt maksimāli detalizētu aprakstot esošo situāciju pilnībā. </w:t>
            </w:r>
          </w:p>
          <w:p w14:paraId="06616B72" w14:textId="58AB98CD" w:rsidR="00F518DD" w:rsidRDefault="00F518DD" w:rsidP="00F518DD">
            <w:pPr>
              <w:jc w:val="both"/>
            </w:pPr>
            <w:r w:rsidRPr="001E7C79">
              <w:t>SVID analīzē matricas veidā novērtē stiprās un vājās puses, kā arī iespējas vai iespējamos draudus.</w:t>
            </w:r>
          </w:p>
        </w:tc>
      </w:tr>
      <w:tr w:rsidR="00F518DD" w14:paraId="59DA5805" w14:textId="77777777" w:rsidTr="00F518DD">
        <w:tc>
          <w:tcPr>
            <w:tcW w:w="737" w:type="dxa"/>
          </w:tcPr>
          <w:p w14:paraId="201CAF46" w14:textId="4A11DD6B" w:rsidR="00F518DD" w:rsidRDefault="00F518DD" w:rsidP="00F518DD">
            <w:pPr>
              <w:jc w:val="center"/>
            </w:pPr>
            <w:r w:rsidRPr="001E7C79">
              <w:t>15.</w:t>
            </w:r>
          </w:p>
        </w:tc>
        <w:tc>
          <w:tcPr>
            <w:tcW w:w="6662" w:type="dxa"/>
          </w:tcPr>
          <w:p w14:paraId="077CD19F" w14:textId="2A682FC2" w:rsidR="00F518DD" w:rsidRDefault="00F518DD" w:rsidP="00F518DD">
            <w:pPr>
              <w:jc w:val="both"/>
            </w:pPr>
            <w:r w:rsidRPr="001E7C79">
              <w:t>Punkts 41.2.7.  – Vai tie varētu būt Rēķini?</w:t>
            </w:r>
          </w:p>
        </w:tc>
        <w:tc>
          <w:tcPr>
            <w:tcW w:w="7227" w:type="dxa"/>
          </w:tcPr>
          <w:p w14:paraId="5A827549" w14:textId="79FCEFCD" w:rsidR="00F518DD" w:rsidRDefault="00F518DD" w:rsidP="00F518DD">
            <w:pPr>
              <w:jc w:val="both"/>
            </w:pPr>
            <w:r w:rsidRPr="001E7C79">
              <w:t>Jā, iepirkto enerģijas apjomu var apliecināt ar rēķiniem (ieteicamais risinājums).</w:t>
            </w:r>
          </w:p>
        </w:tc>
      </w:tr>
      <w:tr w:rsidR="00F518DD" w14:paraId="698C062A" w14:textId="77777777" w:rsidTr="00F518DD">
        <w:tc>
          <w:tcPr>
            <w:tcW w:w="737" w:type="dxa"/>
          </w:tcPr>
          <w:p w14:paraId="286FA43D" w14:textId="778892DD" w:rsidR="00F518DD" w:rsidRDefault="00F518DD" w:rsidP="00F518DD">
            <w:pPr>
              <w:jc w:val="center"/>
            </w:pPr>
            <w:r w:rsidRPr="001E7C79">
              <w:t>16.</w:t>
            </w:r>
          </w:p>
        </w:tc>
        <w:tc>
          <w:tcPr>
            <w:tcW w:w="6662" w:type="dxa"/>
          </w:tcPr>
          <w:p w14:paraId="5DFC8BA1" w14:textId="4D77312E" w:rsidR="00F518DD" w:rsidRDefault="00F518DD" w:rsidP="00F518DD">
            <w:pPr>
              <w:jc w:val="both"/>
            </w:pPr>
            <w:r w:rsidRPr="001E7C79">
              <w:t>Pamatojoties uz 41.2.9. Vai projekta iesniedzēja lēmumam ir jābūt  datētam pēc konkursa izsludināšanas? No kura datuma ir pieļaujams pasūtītāja lēmuma datums?</w:t>
            </w:r>
          </w:p>
        </w:tc>
        <w:tc>
          <w:tcPr>
            <w:tcW w:w="7227" w:type="dxa"/>
          </w:tcPr>
          <w:p w14:paraId="3C8586AA" w14:textId="70A68627" w:rsidR="00F518DD" w:rsidRDefault="00F518DD" w:rsidP="00F518DD">
            <w:pPr>
              <w:jc w:val="both"/>
            </w:pPr>
            <w:r w:rsidRPr="001E7C79">
              <w:t>Projekta iesniedzēja lēmumam ir jābūt pēc 2022. gada 8. augusta, kad tika izsludināta pieteikšanās uz konkursu Latvijas vēstnesī.</w:t>
            </w:r>
          </w:p>
        </w:tc>
      </w:tr>
      <w:tr w:rsidR="00F518DD" w14:paraId="0C397D1F" w14:textId="77777777" w:rsidTr="00F518DD">
        <w:tc>
          <w:tcPr>
            <w:tcW w:w="737" w:type="dxa"/>
          </w:tcPr>
          <w:p w14:paraId="3BD5745E" w14:textId="3F757B35" w:rsidR="00F518DD" w:rsidRDefault="00F518DD" w:rsidP="00F518DD">
            <w:pPr>
              <w:jc w:val="center"/>
            </w:pPr>
            <w:r w:rsidRPr="001E7C79">
              <w:t>17.</w:t>
            </w:r>
          </w:p>
        </w:tc>
        <w:tc>
          <w:tcPr>
            <w:tcW w:w="6662" w:type="dxa"/>
          </w:tcPr>
          <w:p w14:paraId="06DDFE56" w14:textId="19046F9B" w:rsidR="00F518DD" w:rsidRDefault="00F518DD" w:rsidP="00F518DD">
            <w:pPr>
              <w:jc w:val="both"/>
            </w:pPr>
            <w:r w:rsidRPr="001E7C79">
              <w:t>Pamatojoties uz 41.2.12. Kādā apjomā izstrādājam IIA?</w:t>
            </w:r>
          </w:p>
        </w:tc>
        <w:tc>
          <w:tcPr>
            <w:tcW w:w="7227" w:type="dxa"/>
          </w:tcPr>
          <w:p w14:paraId="5A3A4E7F" w14:textId="77777777" w:rsidR="00F518DD" w:rsidRPr="001E7C79" w:rsidRDefault="00F518DD" w:rsidP="00F518DD">
            <w:pPr>
              <w:jc w:val="both"/>
            </w:pPr>
            <w:r w:rsidRPr="001E7C79">
              <w:t>Izmaksu un ieguvumu analīzi iesniedz tikai projekta iesniedzējs, kas veic saimniecisko darbību un kam atbalsta sniegšana šā konkursa ietvaros kvalificējama kā komercdarbības atbalsts atbilstoši Komisijas regulas Nr.  651/2014 53. pantam.</w:t>
            </w:r>
          </w:p>
          <w:p w14:paraId="09E23907" w14:textId="77777777" w:rsidR="00F518DD" w:rsidRPr="001E7C79" w:rsidRDefault="00F518DD" w:rsidP="00F518DD">
            <w:pPr>
              <w:jc w:val="both"/>
            </w:pPr>
          </w:p>
          <w:p w14:paraId="0D72E7F6" w14:textId="46B281AE" w:rsidR="00F518DD" w:rsidRDefault="00F518DD" w:rsidP="00F518DD">
            <w:pPr>
              <w:jc w:val="both"/>
            </w:pPr>
            <w:r w:rsidRPr="001E7C79">
              <w:t>Izmaksu un ieguvumu analīzi veic tādā detalizācijas pakāpē, lai varētu pārliecināties, ka atbalsta summa, kas ietver finanšu instrumenta finansējumu un citu publisko finansējumu, nepārsniedz starpību starp MK noteikumu Nr. 35 31. punktā minētajām attiecināmajām izmaksām un pamatdarbības peļņu no ieguldījuma, kā arī ievēro Komisijas regulas Nr. 651/2014 53. panta 6. punktu attiecībā uz pamatdarbības pelņas atskaitīšanu un samērīgas peļņas paturēšanu.</w:t>
            </w:r>
          </w:p>
        </w:tc>
      </w:tr>
      <w:tr w:rsidR="00F518DD" w14:paraId="53C49F50" w14:textId="77777777" w:rsidTr="00F518DD">
        <w:tc>
          <w:tcPr>
            <w:tcW w:w="737" w:type="dxa"/>
          </w:tcPr>
          <w:p w14:paraId="1481BCF2" w14:textId="4925DCA2" w:rsidR="00F518DD" w:rsidRDefault="00F518DD" w:rsidP="00F518DD">
            <w:pPr>
              <w:jc w:val="center"/>
            </w:pPr>
            <w:r w:rsidRPr="001E7C79">
              <w:t>18.</w:t>
            </w:r>
          </w:p>
        </w:tc>
        <w:tc>
          <w:tcPr>
            <w:tcW w:w="6662" w:type="dxa"/>
          </w:tcPr>
          <w:p w14:paraId="503A499C" w14:textId="4C8E0652" w:rsidR="00F518DD" w:rsidRDefault="00F518DD" w:rsidP="00F518DD">
            <w:pPr>
              <w:jc w:val="both"/>
            </w:pPr>
            <w:r w:rsidRPr="001E7C79">
              <w:t xml:space="preserve">Vai iesniedzam  prognozējošo tāmi atbilstoši ēkas </w:t>
            </w:r>
            <w:proofErr w:type="spellStart"/>
            <w:r w:rsidRPr="001E7C79">
              <w:t>energosertifikātā</w:t>
            </w:r>
            <w:proofErr w:type="spellEnd"/>
            <w:r w:rsidRPr="001E7C79">
              <w:t xml:space="preserve"> norādītajām darbībām un plānotajām darbībām, kas nav iekļautas </w:t>
            </w:r>
            <w:proofErr w:type="spellStart"/>
            <w:r w:rsidRPr="001E7C79">
              <w:t>energosertifikātā</w:t>
            </w:r>
            <w:proofErr w:type="spellEnd"/>
            <w:r w:rsidRPr="001E7C79">
              <w:t xml:space="preserve"> piem. teritorijas labiekārtošana sākotnējā stāvoklī, restaurācijas darbi u.c., ja nav izstrādāta būvniecības iecere?</w:t>
            </w:r>
          </w:p>
        </w:tc>
        <w:tc>
          <w:tcPr>
            <w:tcW w:w="7227" w:type="dxa"/>
          </w:tcPr>
          <w:p w14:paraId="7F955EF6" w14:textId="77777777" w:rsidR="00F518DD" w:rsidRPr="001E7C79" w:rsidRDefault="00F518DD" w:rsidP="00F518DD">
            <w:pPr>
              <w:jc w:val="both"/>
            </w:pPr>
            <w:r w:rsidRPr="001E7C79">
              <w:t>Saskaņā ar MK noteikumu Nr. 35 41.2.4. apakšpunktu, tāme ir obligāti jāiesniedz, ja projekta iesniedzējam uz projekta iesnieguma iesniegšanas dienu Vides investīciju fondā ir būvvaldes atzīme par būvdarbu uzsākšanas nosacījumu izpildi būvatļaujā, apliecinājuma kartē vai paskaidrojuma rakstā.</w:t>
            </w:r>
          </w:p>
          <w:p w14:paraId="20690824" w14:textId="77777777" w:rsidR="00F518DD" w:rsidRPr="001E7C79" w:rsidRDefault="00F518DD" w:rsidP="00F518DD">
            <w:pPr>
              <w:jc w:val="both"/>
            </w:pPr>
          </w:p>
          <w:p w14:paraId="6726BA44" w14:textId="786A21D2" w:rsidR="00F518DD" w:rsidRDefault="00F518DD" w:rsidP="00F518DD">
            <w:pPr>
              <w:jc w:val="both"/>
            </w:pPr>
            <w:r w:rsidRPr="001E7C79">
              <w:t>Citos gadījumos tāmes iesniegšana ir ieteicama, lai varētu izvērtēt projektā plānoto izmaksu pamatotību.</w:t>
            </w:r>
          </w:p>
        </w:tc>
      </w:tr>
      <w:tr w:rsidR="00F518DD" w14:paraId="67AC84AB" w14:textId="77777777" w:rsidTr="00F518DD">
        <w:tc>
          <w:tcPr>
            <w:tcW w:w="737" w:type="dxa"/>
          </w:tcPr>
          <w:p w14:paraId="2370D172" w14:textId="1AA05FD7" w:rsidR="00F518DD" w:rsidRDefault="00F518DD" w:rsidP="00F518DD">
            <w:pPr>
              <w:jc w:val="center"/>
            </w:pPr>
            <w:r w:rsidRPr="001E7C79">
              <w:t>19.</w:t>
            </w:r>
          </w:p>
        </w:tc>
        <w:tc>
          <w:tcPr>
            <w:tcW w:w="6662" w:type="dxa"/>
          </w:tcPr>
          <w:p w14:paraId="3A1FB60A" w14:textId="158979F9" w:rsidR="00F518DD" w:rsidRDefault="00F518DD" w:rsidP="00F518DD">
            <w:pPr>
              <w:jc w:val="both"/>
            </w:pPr>
            <w:r w:rsidRPr="001E7C79">
              <w:t>Ēkas klasifikācija ir  kods 1263, kurā notiek tikai izglītības funkcija (ēkā atrodas pamatskola un pirmsskolas grupas). Atbilstoši kvalitātes vērtēšanas kritēriju 10.punktam - cik ir iegūstamais punktu skaits?</w:t>
            </w:r>
          </w:p>
        </w:tc>
        <w:tc>
          <w:tcPr>
            <w:tcW w:w="7227" w:type="dxa"/>
          </w:tcPr>
          <w:p w14:paraId="6D977D3D" w14:textId="56190824" w:rsidR="00F518DD" w:rsidRDefault="00F518DD" w:rsidP="00F518DD">
            <w:pPr>
              <w:jc w:val="both"/>
            </w:pPr>
            <w:r w:rsidRPr="001E7C79">
              <w:t>MK noteikumu Nr. 35 4. pielikumā 10. punktā papildus punktus piešķir atkarībā no piedāvātā kultūras produktu vai pakalpojumu kultūras nozarē skaita. Ja tādi netiek piedāvāti, tad iegūstams ir 0 punkti minētajā kritērijā.</w:t>
            </w:r>
          </w:p>
        </w:tc>
      </w:tr>
      <w:tr w:rsidR="00F518DD" w14:paraId="459EDC19" w14:textId="77777777" w:rsidTr="00F518DD">
        <w:tc>
          <w:tcPr>
            <w:tcW w:w="737" w:type="dxa"/>
          </w:tcPr>
          <w:p w14:paraId="606A8988" w14:textId="195A403F" w:rsidR="00F518DD" w:rsidRDefault="00F518DD" w:rsidP="00F518DD">
            <w:pPr>
              <w:jc w:val="center"/>
            </w:pPr>
            <w:r w:rsidRPr="001E7C79">
              <w:t>20.</w:t>
            </w:r>
          </w:p>
        </w:tc>
        <w:tc>
          <w:tcPr>
            <w:tcW w:w="6662" w:type="dxa"/>
          </w:tcPr>
          <w:p w14:paraId="722B1872" w14:textId="365F6B55" w:rsidR="00F518DD" w:rsidRDefault="00F518DD" w:rsidP="00F518DD">
            <w:pPr>
              <w:jc w:val="both"/>
            </w:pPr>
            <w:r w:rsidRPr="001E7C79">
              <w:t xml:space="preserve">Ēkas restaurācijas darbu izmaksas, lai nodrošinātu ēkas sākotnējo arhitektonisko detaļu vizuālo un tehnisko stāvokli, ja ēku restaurācijas darbi nav saistīti ar ēkas energoefektivitātes paaugstināšanu, bet nepieciešami, lai nodrošinātu ēkas sākotnējo arhitektonisko detaļu vizuālo un tehnisko </w:t>
            </w:r>
            <w:r w:rsidRPr="001E7C79">
              <w:lastRenderedPageBreak/>
              <w:t>stāvokli, ir paredzēti 15% kā attiecināmas izmaksas? Vai tāmē jāliek visas ēkas restaurācijas darbu izmaksas un šie 15% tiks pēc tam aprēķināti?</w:t>
            </w:r>
          </w:p>
        </w:tc>
        <w:tc>
          <w:tcPr>
            <w:tcW w:w="7227" w:type="dxa"/>
          </w:tcPr>
          <w:p w14:paraId="05A5696F" w14:textId="77777777" w:rsidR="00F518DD" w:rsidRPr="001E7C79" w:rsidRDefault="00F518DD" w:rsidP="00F518DD">
            <w:pPr>
              <w:jc w:val="both"/>
            </w:pPr>
            <w:r w:rsidRPr="001E7C79">
              <w:lastRenderedPageBreak/>
              <w:t xml:space="preserve">Jā, tāmē un projekta pieteikumā jānorāda visas izmaksas, kas saistītas ar projektu, tai skaitā ēkas restaurācijas darbu izmaksas, lai nodrošinātu ēkas sākotnējo arhitektonisko detaļu vizuālo un tehnisko stāvokli. Projekta pieteikumā izmaksas, </w:t>
            </w:r>
            <w:r w:rsidRPr="001E7C79">
              <w:lastRenderedPageBreak/>
              <w:t>kas pārsniedz 15 % no projekta kopējām attiecināmajām izmaksām norāda kā neattiecināmās izmaksas.</w:t>
            </w:r>
          </w:p>
          <w:p w14:paraId="35CA7ABA" w14:textId="77777777" w:rsidR="00F518DD" w:rsidRPr="001E7C79" w:rsidRDefault="00F518DD" w:rsidP="00F518DD">
            <w:pPr>
              <w:jc w:val="both"/>
            </w:pPr>
          </w:p>
          <w:p w14:paraId="7A55B8C8" w14:textId="33D2FC46" w:rsidR="00F518DD" w:rsidRDefault="00F518DD" w:rsidP="00F518DD">
            <w:pPr>
              <w:jc w:val="both"/>
            </w:pPr>
            <w:r w:rsidRPr="001E7C79">
              <w:t>Norādām, ka tāmes izmaksas tiks salīdzinātas projekta ieviešanas laikā ar noslēgto būvniecības līgumu.</w:t>
            </w:r>
          </w:p>
        </w:tc>
      </w:tr>
      <w:tr w:rsidR="00F518DD" w14:paraId="009FD5DC" w14:textId="77777777" w:rsidTr="00F518DD">
        <w:tc>
          <w:tcPr>
            <w:tcW w:w="737" w:type="dxa"/>
          </w:tcPr>
          <w:p w14:paraId="469DB063" w14:textId="4024E6F1" w:rsidR="00F518DD" w:rsidRDefault="00F518DD" w:rsidP="00F518DD">
            <w:pPr>
              <w:jc w:val="center"/>
            </w:pPr>
            <w:r w:rsidRPr="001E7C79">
              <w:lastRenderedPageBreak/>
              <w:t>21.</w:t>
            </w:r>
          </w:p>
        </w:tc>
        <w:tc>
          <w:tcPr>
            <w:tcW w:w="6662" w:type="dxa"/>
          </w:tcPr>
          <w:p w14:paraId="2A848DD3" w14:textId="62BC7966" w:rsidR="00F518DD" w:rsidRDefault="00F518DD" w:rsidP="00F518DD">
            <w:pPr>
              <w:jc w:val="both"/>
            </w:pPr>
            <w:r w:rsidRPr="001E7C79">
              <w:t xml:space="preserve">Vērtēšanas kritērijs Nr.6 - "projekta ietvaros plānotajām būvniecības darbībām ir zema gatavības pakāpe, ja ir izstrādāts ēkas </w:t>
            </w:r>
            <w:proofErr w:type="spellStart"/>
            <w:r w:rsidRPr="001E7C79">
              <w:t>energosertifikāts</w:t>
            </w:r>
            <w:proofErr w:type="spellEnd"/>
            <w:r w:rsidRPr="001E7C79">
              <w:t xml:space="preserve"> un ir izsludināts iepirkuma konkurss būvniecības ieceres izstrādei" - saņem 0 punkti. Ja ir </w:t>
            </w:r>
            <w:proofErr w:type="spellStart"/>
            <w:r w:rsidRPr="001E7C79">
              <w:t>energosertifikāts</w:t>
            </w:r>
            <w:proofErr w:type="spellEnd"/>
            <w:r w:rsidRPr="001E7C79">
              <w:t>, bet nav izsludināts iepirkums būvniecības ieceres izstrādei - vai tas ir noraidāmais faktors un nevar kvalificēties, vai saņem 0 punktu un netiek projekta iesniegums noraidīts?</w:t>
            </w:r>
          </w:p>
        </w:tc>
        <w:tc>
          <w:tcPr>
            <w:tcW w:w="7227" w:type="dxa"/>
          </w:tcPr>
          <w:p w14:paraId="3A41928C" w14:textId="738A33B0" w:rsidR="00F518DD" w:rsidRDefault="00F518DD" w:rsidP="00F518DD">
            <w:pPr>
              <w:jc w:val="both"/>
            </w:pPr>
            <w:r w:rsidRPr="001E7C79">
              <w:t>Ja nav izsludināts iepirkums būvniecības ieceres izstrādei, tad projekts nav noraidāms. Vienlaikus norādām, ka tādi projekti saņems mazāk punktus kvalitātes vērtēšanas laikā un projekta pieteikumā vajadzētu sniegt plānu, kā mazināt iepirkuma risku projekta ieviešanas laikā, paturot prātā, ka projekta izmaksas var būtiski pieaugt pēc iepirkuma izsludināšanas.</w:t>
            </w:r>
          </w:p>
        </w:tc>
      </w:tr>
      <w:tr w:rsidR="00F518DD" w14:paraId="60E91A71" w14:textId="77777777" w:rsidTr="00F518DD">
        <w:tc>
          <w:tcPr>
            <w:tcW w:w="737" w:type="dxa"/>
          </w:tcPr>
          <w:p w14:paraId="0EDC19F7" w14:textId="17EDEDE3" w:rsidR="00F518DD" w:rsidRDefault="00F518DD" w:rsidP="00F518DD">
            <w:pPr>
              <w:jc w:val="center"/>
            </w:pPr>
            <w:r w:rsidRPr="001E7C79">
              <w:t>22.</w:t>
            </w:r>
          </w:p>
        </w:tc>
        <w:tc>
          <w:tcPr>
            <w:tcW w:w="6662" w:type="dxa"/>
          </w:tcPr>
          <w:p w14:paraId="1DCBD630" w14:textId="77777777" w:rsidR="00F518DD" w:rsidRPr="001E7C79" w:rsidRDefault="00F518DD" w:rsidP="00F518DD">
            <w:pPr>
              <w:jc w:val="both"/>
            </w:pPr>
            <w:r w:rsidRPr="001E7C79">
              <w:t>Saskaņā ar Nolikuma 12.</w:t>
            </w:r>
            <w:r w:rsidRPr="001E7C79">
              <w:rPr>
                <w:vertAlign w:val="superscript"/>
              </w:rPr>
              <w:t>5</w:t>
            </w:r>
            <w:r w:rsidRPr="001E7C79">
              <w:t xml:space="preserve">2. punktu attiecīgā gada publisko jeb finanšu instrumenta izmaksu maksimālo apmēru nosaka, izmantojot formulu. </w:t>
            </w:r>
          </w:p>
          <w:p w14:paraId="2CDCBF52" w14:textId="2FE4B62C" w:rsidR="00F518DD" w:rsidRDefault="00F518DD" w:rsidP="00F518DD">
            <w:pPr>
              <w:jc w:val="both"/>
            </w:pPr>
            <w:r w:rsidRPr="001E7C79">
              <w:t>Kā veselības aprūpes iestādes kopējā sniegto medicīnas pakalpojumu bilancē nodalīt tos pakalpojumus, kas attiecas uz atbalstāmo aktivitāti, t.i., esoša valsts nozīmes arhitektūras pieminekļa (vienas vai vairāku ēku) pārbūve, atjaunošana, restaurācija vai vienkāršotā fasādes atjaunošana, uzlabojot ēkas energoefektivitāti?</w:t>
            </w:r>
          </w:p>
        </w:tc>
        <w:tc>
          <w:tcPr>
            <w:tcW w:w="7227" w:type="dxa"/>
          </w:tcPr>
          <w:p w14:paraId="742D7B71" w14:textId="77777777" w:rsidR="00F518DD" w:rsidRPr="001E7C79" w:rsidRDefault="00F518DD" w:rsidP="00F518DD">
            <w:pPr>
              <w:jc w:val="both"/>
            </w:pPr>
            <w:r w:rsidRPr="001E7C79">
              <w:t xml:space="preserve">MK noteikumi Nr. 35 nenosaka prasību nodalīt tos pakalpojumus, kas attiecas uz atbalstāmo aktivitāti. Lai aprēķinātu finanšu instrumenta izmaksu maksimālo apmēru ir jāzina projektā iekļautās ēkas izmantošanas laiks valsts apmaksātu veselības aprūpes pakalpojumu sniegšanai (stundas gadā). Piemēram, ēkā 50% laiku tiek veiktas valsts apmaksātas operācijas un 50% laiku tiek veiktas privāti apmaksātas operācijas. </w:t>
            </w:r>
          </w:p>
          <w:p w14:paraId="2BA480AC" w14:textId="0FE58681" w:rsidR="00F518DD" w:rsidRDefault="00F518DD" w:rsidP="00F518DD">
            <w:pPr>
              <w:jc w:val="both"/>
            </w:pPr>
            <w:r w:rsidRPr="001E7C79">
              <w:t>Ja ēkā netiek sniegti valsts apmaksāti veselības aprūpes pakalpojumi, tad jānorāda, ka infrastruktūras izmantošanas laiks ir citu darbību veikšanai (stundas gadā).</w:t>
            </w:r>
          </w:p>
        </w:tc>
      </w:tr>
      <w:tr w:rsidR="00F518DD" w14:paraId="4713D81F" w14:textId="77777777" w:rsidTr="00F518DD">
        <w:tc>
          <w:tcPr>
            <w:tcW w:w="737" w:type="dxa"/>
          </w:tcPr>
          <w:p w14:paraId="69A83BF9" w14:textId="7365BE6E" w:rsidR="00F518DD" w:rsidRDefault="00F518DD" w:rsidP="00F518DD">
            <w:pPr>
              <w:jc w:val="center"/>
            </w:pPr>
            <w:r w:rsidRPr="001E7C79">
              <w:t>23.</w:t>
            </w:r>
          </w:p>
        </w:tc>
        <w:tc>
          <w:tcPr>
            <w:tcW w:w="6662" w:type="dxa"/>
          </w:tcPr>
          <w:p w14:paraId="7611BC96" w14:textId="21476B50" w:rsidR="00F518DD" w:rsidRDefault="00F518DD" w:rsidP="00F518DD">
            <w:pPr>
              <w:jc w:val="both"/>
            </w:pPr>
            <w:r w:rsidRPr="001E7C79">
              <w:t>Lūdzam sniegt skaidrojumu par formulas daļu ∑(L</w:t>
            </w:r>
            <w:r w:rsidRPr="001E7C79">
              <w:rPr>
                <w:vertAlign w:val="subscript"/>
              </w:rPr>
              <w:t>v y</w:t>
            </w:r>
            <w:r w:rsidRPr="001E7C79">
              <w:t xml:space="preserve"> × </w:t>
            </w:r>
            <w:proofErr w:type="spellStart"/>
            <w:r w:rsidRPr="001E7C79">
              <w:t>S</w:t>
            </w:r>
            <w:r w:rsidRPr="001E7C79">
              <w:rPr>
                <w:vertAlign w:val="subscript"/>
              </w:rPr>
              <w:t>y</w:t>
            </w:r>
            <w:proofErr w:type="spellEnd"/>
            <w:r w:rsidRPr="001E7C79">
              <w:t>) un ∑(L</w:t>
            </w:r>
            <w:r w:rsidRPr="001E7C79">
              <w:rPr>
                <w:vertAlign w:val="subscript"/>
              </w:rPr>
              <w:t>m y </w:t>
            </w:r>
            <w:r w:rsidRPr="001E7C79">
              <w:t xml:space="preserve">× </w:t>
            </w:r>
            <w:proofErr w:type="spellStart"/>
            <w:r w:rsidRPr="001E7C79">
              <w:t>S</w:t>
            </w:r>
            <w:r w:rsidRPr="001E7C79">
              <w:rPr>
                <w:vertAlign w:val="subscript"/>
              </w:rPr>
              <w:t>y</w:t>
            </w:r>
            <w:proofErr w:type="spellEnd"/>
            <w:r w:rsidRPr="001E7C79">
              <w:t>) izmantošanu aprēķiniem. Vai tas nozīmē, ka projekta ietvaros var būt vairākas atbalstāmās aktivitātes, kur katrai no šīm aktivitātēm atbilst savs uz attiecīgo atbalstāmo aktivitāti attiecināmās infrastruktūras izmantošanas laiks? Ja, jā, lūdzam, sniegt piemēru šāda aprēķina veikšanai.</w:t>
            </w:r>
          </w:p>
        </w:tc>
        <w:tc>
          <w:tcPr>
            <w:tcW w:w="7227" w:type="dxa"/>
          </w:tcPr>
          <w:p w14:paraId="217CAD5F" w14:textId="4BEC9E86" w:rsidR="00F518DD" w:rsidRDefault="00F518DD" w:rsidP="00F518DD">
            <w:pPr>
              <w:jc w:val="both"/>
            </w:pPr>
            <w:r w:rsidRPr="001E7C79">
              <w:t xml:space="preserve">Jā – vienā projekta iesniegumā var ietvert vairākas aktivitātes, kuras paredzēts īstenot vienā valsts nozīmes arhitektūras piemineklī – vienā vai vairākās ēkās. Piemēram, ēka A tiek izmantota 100%  valsts apmaksātu veselības aprūpes pakalpojumu sniegšanai, kamēr ēka B tiek izmantota tikai 50% apmērā. Aprēķina formulas ir papildinātas formā: </w:t>
            </w:r>
            <w:hyperlink r:id="rId6" w:history="1">
              <w:r w:rsidRPr="001E7C79">
                <w:rPr>
                  <w:rStyle w:val="Hyperlink"/>
                  <w:color w:val="5B9D36"/>
                  <w:shd w:val="clear" w:color="auto" w:fill="FFFFFF"/>
                </w:rPr>
                <w:t>5. sadaļa – Projekta finansēšanas rādītāji (elektroniskā forma - piemērs)</w:t>
              </w:r>
            </w:hyperlink>
          </w:p>
        </w:tc>
      </w:tr>
      <w:tr w:rsidR="00F518DD" w14:paraId="2E6320CA" w14:textId="77777777" w:rsidTr="00F518DD">
        <w:tc>
          <w:tcPr>
            <w:tcW w:w="737" w:type="dxa"/>
          </w:tcPr>
          <w:p w14:paraId="5F570975" w14:textId="4F8A58F0" w:rsidR="00F518DD" w:rsidRDefault="00F518DD" w:rsidP="00F518DD">
            <w:pPr>
              <w:jc w:val="center"/>
            </w:pPr>
            <w:r w:rsidRPr="001E7C79">
              <w:t>24.</w:t>
            </w:r>
          </w:p>
        </w:tc>
        <w:tc>
          <w:tcPr>
            <w:tcW w:w="6662" w:type="dxa"/>
          </w:tcPr>
          <w:p w14:paraId="0982DC5D" w14:textId="77777777" w:rsidR="00F518DD" w:rsidRPr="001E7C79" w:rsidRDefault="00F518DD" w:rsidP="00F518DD">
            <w:pPr>
              <w:jc w:val="both"/>
            </w:pPr>
            <w:r w:rsidRPr="001E7C79">
              <w:t>Lūdzam skaidrot, kā pareizi piemērot MK noteikumu 78. un 83.punkta nosacījumus attiecībā uz projekta iesniedzēju, kas ir valsts dibināta augstskola (no valsts budžeta daļēji finansēta atvasināta publiska persona).</w:t>
            </w:r>
          </w:p>
          <w:p w14:paraId="7C4C81D8" w14:textId="77777777" w:rsidR="00F518DD" w:rsidRPr="001E7C79" w:rsidRDefault="00F518DD" w:rsidP="00F518DD">
            <w:pPr>
              <w:jc w:val="both"/>
            </w:pPr>
          </w:p>
          <w:p w14:paraId="1E1E462A" w14:textId="77777777" w:rsidR="00F518DD" w:rsidRPr="001E7C79" w:rsidRDefault="00F518DD" w:rsidP="00F518DD">
            <w:pPr>
              <w:jc w:val="both"/>
            </w:pPr>
            <w:r w:rsidRPr="001E7C79">
              <w:t xml:space="preserve">Vai pareizi saprotam, ka augstskolai nav nepieciešams rezervēt savus paša līdzekļus līdzfinansējuma segšanai? Vai pamatojoties uz 78.punktu valsts dibināta augstskola savā projekta pieteikumā tā arī var norādīt, ka līdzfinansējums un noteikumu 83.punktā minētās neattiecināmās izmaksas tiek nodrošinātas/segtas no valsts budžeta?  </w:t>
            </w:r>
          </w:p>
          <w:p w14:paraId="2912B26F" w14:textId="0A767521" w:rsidR="00F518DD" w:rsidRDefault="00F518DD" w:rsidP="00F518DD">
            <w:pPr>
              <w:jc w:val="both"/>
            </w:pPr>
            <w:r w:rsidRPr="001E7C79">
              <w:t xml:space="preserve">Kurā brīdī valsts dibinātai augstskolai ir jāpieprasa no attiecīgās ministrijas, kuras padotībā atrodas augstskola,  valsts budžeta finansējums projekta </w:t>
            </w:r>
            <w:r w:rsidRPr="001E7C79">
              <w:lastRenderedPageBreak/>
              <w:t>līdzfinansējuma segšanai? Vai pirms projekta pieteikuma iesniegšanas vai tikai pēc projekta pieteikuma apstiprināšanas? Vai ministrijai ir tiesības atteikt augstskolai valsts budžeta līdzekļu pieprasījumu?</w:t>
            </w:r>
          </w:p>
        </w:tc>
        <w:tc>
          <w:tcPr>
            <w:tcW w:w="7227" w:type="dxa"/>
          </w:tcPr>
          <w:p w14:paraId="7D782B7B" w14:textId="77777777" w:rsidR="00F518DD" w:rsidRPr="001E7C79" w:rsidRDefault="00F518DD" w:rsidP="00F518DD">
            <w:pPr>
              <w:jc w:val="both"/>
            </w:pPr>
            <w:r w:rsidRPr="001E7C79">
              <w:lastRenderedPageBreak/>
              <w:t>Jā – finansējuma saņēmējs, kas atbilst MK notikumu Nr. 35 78. punktam, pieteikumā norāda, ka līdzfinansējums un MK notikumu Nr. 35 noteikumu 83.punktā minētās neattiecināmās izmaksas tiek nodrošinātas no valsts budžeta līdzekļiem.</w:t>
            </w:r>
          </w:p>
          <w:p w14:paraId="06290C3E" w14:textId="77777777" w:rsidR="00F518DD" w:rsidRPr="001E7C79" w:rsidRDefault="00F518DD" w:rsidP="00F518DD">
            <w:pPr>
              <w:jc w:val="both"/>
            </w:pPr>
          </w:p>
          <w:p w14:paraId="4D541980" w14:textId="6FC7520E" w:rsidR="00F518DD" w:rsidRDefault="00F518DD" w:rsidP="00F518DD">
            <w:pPr>
              <w:jc w:val="both"/>
            </w:pPr>
            <w:r w:rsidRPr="001E7C79">
              <w:t xml:space="preserve">Norādām, ka MK notikumu Nr. 35 nenosaka īpašus nosacījumus par saskaņojumu, taču lai izvairītos no situācijas, kad ir ieguldīti līdzekļi projekta izstrādei, tad iesakām saskaņot projekta aktivitātes un finansēšanas plānu ar attiecīgo ministriju pirms projekta pieteikuma iesniegšanas, jo attiecīgai ministrijai ir tiesības nesaskaņot projekta realizāciju. </w:t>
            </w:r>
          </w:p>
        </w:tc>
      </w:tr>
      <w:tr w:rsidR="00F518DD" w14:paraId="0F53F6B4" w14:textId="77777777" w:rsidTr="00F518DD">
        <w:tc>
          <w:tcPr>
            <w:tcW w:w="737" w:type="dxa"/>
          </w:tcPr>
          <w:p w14:paraId="2BED9E54" w14:textId="4CA3D161" w:rsidR="00F518DD" w:rsidRDefault="00F518DD" w:rsidP="00F518DD">
            <w:pPr>
              <w:jc w:val="center"/>
            </w:pPr>
            <w:r w:rsidRPr="001E7C79">
              <w:t>25.</w:t>
            </w:r>
          </w:p>
        </w:tc>
        <w:tc>
          <w:tcPr>
            <w:tcW w:w="6662" w:type="dxa"/>
          </w:tcPr>
          <w:p w14:paraId="43A45E77" w14:textId="77777777" w:rsidR="00F518DD" w:rsidRPr="001E7C79" w:rsidRDefault="00F518DD" w:rsidP="00F518DD">
            <w:pPr>
              <w:jc w:val="both"/>
            </w:pPr>
            <w:r w:rsidRPr="001E7C79">
              <w:t>Lūdzam precizēt atbildi vai izvērstāk paskaidrot kritērija Nr.10 piemērošanu. Vai tiešām arhitektūras piemineklī, ja tajā tiek īstenota izglītības, reliģiska vai veselības aprūpes funkcija, papildu šīm funkcijām ir jāpiedāvā kultūras produkti vai pakalpojumi kultūras nozarē, lai kritērijā saņemtu 7 vai 10 punktus? Un ja netiek piedāvāti kultūras produkti vai pakalpojumi kultūras nozarē, tad projekts kritērijā Nr.10 saņem 0 punktu, neskatoties uz to, ka ēkā tiek īstenota izglītības, reliģiska vai veselības aprūpes funkcija?</w:t>
            </w:r>
          </w:p>
          <w:p w14:paraId="13C8C81C" w14:textId="77777777" w:rsidR="00F518DD" w:rsidRPr="001E7C79" w:rsidRDefault="00F518DD" w:rsidP="00F518DD">
            <w:pPr>
              <w:jc w:val="both"/>
            </w:pPr>
          </w:p>
          <w:p w14:paraId="55DFD827" w14:textId="18B19B96" w:rsidR="00F518DD" w:rsidRDefault="00F518DD" w:rsidP="00F518DD">
            <w:pPr>
              <w:jc w:val="both"/>
            </w:pPr>
            <w:r w:rsidRPr="001E7C79">
              <w:t>Ja tomēr pietiek tikai ar izglītības, reliģiska vai veselības aprūpes funkciju, lai saņemtu punktus vērtējumā, lūdzu skaidrot, kāda atšķirība starp 10 punktu un 7 punktu vērtējumu šajā gadījumā, kas nepieciešams vēl papildus, lai saņemtu 10 punktus.</w:t>
            </w:r>
          </w:p>
        </w:tc>
        <w:tc>
          <w:tcPr>
            <w:tcW w:w="7227" w:type="dxa"/>
          </w:tcPr>
          <w:p w14:paraId="07742FA1" w14:textId="70AA92EB" w:rsidR="00F518DD" w:rsidRDefault="00F518DD" w:rsidP="00F518DD">
            <w:pPr>
              <w:jc w:val="both"/>
            </w:pPr>
            <w:r w:rsidRPr="001E7C79">
              <w:t>Norādām, ka MK notikumos Nr. 35 10. kritērijā ir pretrunas starp kritērija rādītājiem un attiecīgi, ja valsts nozīmes arhitektūras piemineklī tiek īstenota tikai izglītības, reliģiska, veselības aprūpes funkcija, tad tāds projekts saņemtu attiecīgi vai nu 10 punktus, 7 punktus vai 0 punktus. Lēmumu par 10. kritērija piemērošanu pieņems vērtēšanas komisija vienādi attiecībā pret visiem projekta iesniedzējiem.</w:t>
            </w:r>
          </w:p>
        </w:tc>
      </w:tr>
      <w:tr w:rsidR="00F518DD" w14:paraId="5811EAFD" w14:textId="77777777" w:rsidTr="00F518DD">
        <w:tc>
          <w:tcPr>
            <w:tcW w:w="737" w:type="dxa"/>
          </w:tcPr>
          <w:p w14:paraId="232C083F" w14:textId="5AD341DF" w:rsidR="00F518DD" w:rsidRDefault="00F518DD" w:rsidP="00F518DD">
            <w:pPr>
              <w:jc w:val="center"/>
            </w:pPr>
            <w:r w:rsidRPr="001E7C79">
              <w:t>26.</w:t>
            </w:r>
          </w:p>
        </w:tc>
        <w:tc>
          <w:tcPr>
            <w:tcW w:w="6662" w:type="dxa"/>
          </w:tcPr>
          <w:p w14:paraId="6B451CD8" w14:textId="7592F5A1" w:rsidR="00F518DD" w:rsidRDefault="00F518DD" w:rsidP="00F518DD">
            <w:pPr>
              <w:jc w:val="both"/>
            </w:pPr>
            <w:r w:rsidRPr="001E7C79">
              <w:t>Vai EKII otrās kārtas konkursam kvalificējas arī vietējās nozīmes kultūras pieminekļi?</w:t>
            </w:r>
          </w:p>
        </w:tc>
        <w:tc>
          <w:tcPr>
            <w:tcW w:w="7227" w:type="dxa"/>
          </w:tcPr>
          <w:p w14:paraId="55708101" w14:textId="21E617BA" w:rsidR="00F518DD" w:rsidRDefault="00F518DD" w:rsidP="00F518DD">
            <w:pPr>
              <w:jc w:val="both"/>
            </w:pPr>
            <w:r w:rsidRPr="001E7C79">
              <w:t>Nē, MK notikumu Nr. 35 16.1. apakšpunkts nosaka, ka projektā iekļautās aktivitātes plānots īstenot ēkā, kas atbilst valsts nozīmes arhitektūras pieminekļa statusam.</w:t>
            </w:r>
          </w:p>
        </w:tc>
      </w:tr>
      <w:tr w:rsidR="00F518DD" w14:paraId="1B049E0C" w14:textId="77777777" w:rsidTr="00F518DD">
        <w:tc>
          <w:tcPr>
            <w:tcW w:w="737" w:type="dxa"/>
          </w:tcPr>
          <w:p w14:paraId="4270CDC4" w14:textId="13290653" w:rsidR="00F518DD" w:rsidRDefault="00F518DD" w:rsidP="00F518DD">
            <w:pPr>
              <w:jc w:val="center"/>
            </w:pPr>
            <w:r w:rsidRPr="001E7C79">
              <w:t>27.</w:t>
            </w:r>
          </w:p>
        </w:tc>
        <w:tc>
          <w:tcPr>
            <w:tcW w:w="6662" w:type="dxa"/>
          </w:tcPr>
          <w:p w14:paraId="7C92BA95" w14:textId="27E46A22" w:rsidR="00F518DD" w:rsidRDefault="00F518DD" w:rsidP="00F518DD">
            <w:pPr>
              <w:jc w:val="both"/>
            </w:pPr>
            <w:r w:rsidRPr="001E7C79">
              <w:t>Pēc kādām pazīmēm iestāde kvalificējas kā komercdarbības veicējs (konkrēts piemērs - Latvijas Zinātņu akadēmija, Zinātniska institūcija, publiska atvasināta persona)?</w:t>
            </w:r>
          </w:p>
        </w:tc>
        <w:tc>
          <w:tcPr>
            <w:tcW w:w="7227" w:type="dxa"/>
          </w:tcPr>
          <w:p w14:paraId="240CD2ED" w14:textId="00C854E0" w:rsidR="00F518DD" w:rsidRDefault="00F518DD" w:rsidP="00F518DD">
            <w:pPr>
              <w:jc w:val="both"/>
            </w:pPr>
            <w:r w:rsidRPr="001E7C79">
              <w:t xml:space="preserve">Komercdarbības atbalstu nosaka saskaņā ar </w:t>
            </w:r>
            <w:hyperlink r:id="rId7" w:history="1">
              <w:r w:rsidRPr="001E7C79">
                <w:rPr>
                  <w:rStyle w:val="Hyperlink"/>
                </w:rPr>
                <w:t>Komercdarbības atbalsta kontroles likumu</w:t>
              </w:r>
            </w:hyperlink>
            <w:r w:rsidRPr="001E7C79">
              <w:t>, izņemot MK notikumos Nr. 35  minētājos izņēmumos.</w:t>
            </w:r>
          </w:p>
        </w:tc>
      </w:tr>
      <w:tr w:rsidR="00F518DD" w14:paraId="19C3ECEE" w14:textId="77777777" w:rsidTr="00F518DD">
        <w:tc>
          <w:tcPr>
            <w:tcW w:w="737" w:type="dxa"/>
          </w:tcPr>
          <w:p w14:paraId="1B3004EF" w14:textId="74D48383" w:rsidR="00F518DD" w:rsidRDefault="00F518DD" w:rsidP="00F518DD">
            <w:pPr>
              <w:jc w:val="center"/>
            </w:pPr>
            <w:r>
              <w:t>28.</w:t>
            </w:r>
          </w:p>
        </w:tc>
        <w:tc>
          <w:tcPr>
            <w:tcW w:w="6662" w:type="dxa"/>
          </w:tcPr>
          <w:p w14:paraId="1C39FEBF" w14:textId="4F5B65AB" w:rsidR="00F518DD" w:rsidRDefault="00F518DD" w:rsidP="00F518DD">
            <w:pPr>
              <w:jc w:val="both"/>
            </w:pPr>
            <w:r>
              <w:t>V</w:t>
            </w:r>
            <w:r w:rsidRPr="00954658">
              <w:t>ai projektam var pieteikties, ja tiek realizēts tikai viena no MK attiecināmajām aktivitātēm, piemēram, 31.4. apgaismojuma un elektroapgādes sistēmas izbūves, pārbūves vai atjaunošanas izmaksas, ja tās ir saistītas ar enerģijas ietaupījumu un CO</w:t>
            </w:r>
            <w:r w:rsidRPr="00954658">
              <w:rPr>
                <w:vertAlign w:val="subscript"/>
              </w:rPr>
              <w:t>2</w:t>
            </w:r>
            <w:r w:rsidRPr="00954658">
              <w:t xml:space="preserve"> emisijas samazinājumu?</w:t>
            </w:r>
          </w:p>
        </w:tc>
        <w:tc>
          <w:tcPr>
            <w:tcW w:w="7227" w:type="dxa"/>
          </w:tcPr>
          <w:p w14:paraId="77EEA885" w14:textId="77208B3C" w:rsidR="00F518DD" w:rsidRDefault="00F518DD" w:rsidP="00F518DD">
            <w:pPr>
              <w:jc w:val="both"/>
            </w:pPr>
            <w:r>
              <w:t>Jā var pieteikties</w:t>
            </w:r>
            <w:r w:rsidR="00DE34DD">
              <w:t>. A</w:t>
            </w:r>
            <w:r>
              <w:t>ktivitāte</w:t>
            </w:r>
            <w:r w:rsidR="00DE34DD">
              <w:t xml:space="preserve">i </w:t>
            </w:r>
            <w:r w:rsidRPr="00F518DD">
              <w:t>ir</w:t>
            </w:r>
            <w:r w:rsidR="00DE34DD">
              <w:t xml:space="preserve"> jābūt</w:t>
            </w:r>
            <w:r w:rsidRPr="00F518DD">
              <w:t xml:space="preserve"> saistīta</w:t>
            </w:r>
            <w:r w:rsidR="00DE34DD">
              <w:t>i</w:t>
            </w:r>
            <w:r w:rsidRPr="00F518DD">
              <w:t xml:space="preserve"> ar enerģijas ietaupījumu un CO</w:t>
            </w:r>
            <w:r w:rsidRPr="00F518DD">
              <w:rPr>
                <w:vertAlign w:val="subscript"/>
              </w:rPr>
              <w:t>2</w:t>
            </w:r>
            <w:r w:rsidRPr="00F518DD">
              <w:t xml:space="preserve"> emisijas samazinājum</w:t>
            </w:r>
            <w:r>
              <w:t xml:space="preserve">u </w:t>
            </w:r>
            <w:r w:rsidRPr="00F518DD">
              <w:t>veicot valsts nozīmes arhitektūras pieminekļu pārbūvi</w:t>
            </w:r>
            <w:r>
              <w:t xml:space="preserve"> vai</w:t>
            </w:r>
            <w:r w:rsidRPr="00F518DD">
              <w:t xml:space="preserve"> atjaunošanu</w:t>
            </w:r>
            <w:r>
              <w:t xml:space="preserve"> vai</w:t>
            </w:r>
            <w:r w:rsidRPr="00F518DD">
              <w:t xml:space="preserve"> restaurāciju vai vienkāršoto fasādes atjaunošanu</w:t>
            </w:r>
            <w:r w:rsidR="00DE34DD">
              <w:t>.</w:t>
            </w:r>
          </w:p>
        </w:tc>
      </w:tr>
      <w:tr w:rsidR="00F518DD" w14:paraId="3F80B540" w14:textId="77777777" w:rsidTr="00F518DD">
        <w:tc>
          <w:tcPr>
            <w:tcW w:w="737" w:type="dxa"/>
          </w:tcPr>
          <w:p w14:paraId="0C652E9F" w14:textId="3D7EBC13" w:rsidR="00F518DD" w:rsidRDefault="0039187E" w:rsidP="00F518DD">
            <w:pPr>
              <w:jc w:val="center"/>
            </w:pPr>
            <w:bookmarkStart w:id="0" w:name="_Hlk113831079"/>
            <w:r>
              <w:t>29.</w:t>
            </w:r>
          </w:p>
        </w:tc>
        <w:tc>
          <w:tcPr>
            <w:tcW w:w="6662" w:type="dxa"/>
          </w:tcPr>
          <w:p w14:paraId="20BA3A2B" w14:textId="469ED211" w:rsidR="00F518DD" w:rsidRDefault="0039187E" w:rsidP="00F518DD">
            <w:pPr>
              <w:jc w:val="both"/>
            </w:pPr>
            <w:r w:rsidRPr="0039187E">
              <w:t xml:space="preserve">Vai </w:t>
            </w:r>
            <w:proofErr w:type="spellStart"/>
            <w:r w:rsidRPr="0039187E">
              <w:t>energosertifikātā</w:t>
            </w:r>
            <w:proofErr w:type="spellEnd"/>
            <w:r w:rsidRPr="0039187E">
              <w:t xml:space="preserve"> jābūt iekļautiem arī tiem darbiem, kas nerada enerģijas ietaupījumu un CO</w:t>
            </w:r>
            <w:r w:rsidRPr="0039187E">
              <w:rPr>
                <w:vertAlign w:val="subscript"/>
              </w:rPr>
              <w:t>2</w:t>
            </w:r>
            <w:r w:rsidRPr="0039187E">
              <w:t xml:space="preserve"> samazinājumu? Piem. durvju atjaunošana vai restaurācija u.c.?</w:t>
            </w:r>
          </w:p>
        </w:tc>
        <w:tc>
          <w:tcPr>
            <w:tcW w:w="7227" w:type="dxa"/>
          </w:tcPr>
          <w:p w14:paraId="23564423" w14:textId="6754F109" w:rsidR="00F518DD" w:rsidRDefault="0039187E" w:rsidP="00F518DD">
            <w:pPr>
              <w:jc w:val="both"/>
            </w:pPr>
            <w:r>
              <w:t xml:space="preserve">Nē – tie darbi, kas </w:t>
            </w:r>
            <w:r w:rsidRPr="0039187E">
              <w:t>nerada enerģijas ietaupījumu un CO</w:t>
            </w:r>
            <w:r w:rsidRPr="0039187E">
              <w:rPr>
                <w:vertAlign w:val="subscript"/>
              </w:rPr>
              <w:t>2</w:t>
            </w:r>
            <w:r w:rsidRPr="0039187E">
              <w:t xml:space="preserve"> samazinājumu</w:t>
            </w:r>
            <w:r>
              <w:t xml:space="preserve"> nav obligāti jānorāda, taču iesakām visas projekta aktivitātes norādīt p</w:t>
            </w:r>
            <w:r w:rsidRPr="0039187E">
              <w:t>ārskat</w:t>
            </w:r>
            <w:r>
              <w:t>ā</w:t>
            </w:r>
            <w:r w:rsidRPr="0039187E">
              <w:t xml:space="preserve"> par ēkas </w:t>
            </w:r>
            <w:proofErr w:type="spellStart"/>
            <w:r w:rsidRPr="0039187E">
              <w:t>energosertifikāta</w:t>
            </w:r>
            <w:proofErr w:type="spellEnd"/>
            <w:r w:rsidRPr="0039187E">
              <w:t xml:space="preserve"> aprēķinos izmantotajām </w:t>
            </w:r>
            <w:proofErr w:type="spellStart"/>
            <w:r w:rsidRPr="0039187E">
              <w:t>ievaddatu</w:t>
            </w:r>
            <w:proofErr w:type="spellEnd"/>
            <w:r w:rsidRPr="0039187E">
              <w:t xml:space="preserve"> vērtībām</w:t>
            </w:r>
            <w:r>
              <w:t>, lai pārliecinātos, ka ir izvērtēta projekta ietekme uz ēkas energoefektivitāti.</w:t>
            </w:r>
          </w:p>
        </w:tc>
      </w:tr>
      <w:tr w:rsidR="00F518DD" w14:paraId="6622CCDE" w14:textId="77777777" w:rsidTr="00F518DD">
        <w:tc>
          <w:tcPr>
            <w:tcW w:w="737" w:type="dxa"/>
          </w:tcPr>
          <w:p w14:paraId="47B63D7A" w14:textId="37575048" w:rsidR="00F518DD" w:rsidRDefault="0039187E" w:rsidP="00F518DD">
            <w:pPr>
              <w:jc w:val="center"/>
            </w:pPr>
            <w:r>
              <w:t>30.</w:t>
            </w:r>
          </w:p>
        </w:tc>
        <w:tc>
          <w:tcPr>
            <w:tcW w:w="6662" w:type="dxa"/>
          </w:tcPr>
          <w:p w14:paraId="35615A5F" w14:textId="3723E78C" w:rsidR="00F518DD" w:rsidRDefault="0039187E" w:rsidP="00F518DD">
            <w:pPr>
              <w:jc w:val="both"/>
            </w:pPr>
            <w:r w:rsidRPr="0039187E">
              <w:t>Vai vienīgie attiecināmie darbi, kas nerada enerģijas ietaupījumu ir tikai restaurācijas darbi? Vai,</w:t>
            </w:r>
            <w:r>
              <w:t xml:space="preserve"> </w:t>
            </w:r>
            <w:r w:rsidRPr="0039187E">
              <w:t>piemēram, grīdas atjaunošana, sienu, griestu krāsošana ir attiecināmās izmaksas, ja tās saistītas ar pārējiem darbiem telpā?</w:t>
            </w:r>
          </w:p>
        </w:tc>
        <w:tc>
          <w:tcPr>
            <w:tcW w:w="7227" w:type="dxa"/>
          </w:tcPr>
          <w:p w14:paraId="1F34BDE2" w14:textId="77777777" w:rsidR="00F518DD" w:rsidRDefault="00F45F01" w:rsidP="00F518DD">
            <w:pPr>
              <w:jc w:val="both"/>
            </w:pPr>
            <w:r>
              <w:t xml:space="preserve">Norādām, ka attiecināmas arī ir </w:t>
            </w:r>
            <w:r w:rsidRPr="00F45F01">
              <w:t>ventilācijas sistēmas izbūves, pārbūves vai atjaunošanas darbu izmaksas, ja tiek sasniegts būvniecības nozari regulējošiem normatīvajiem aktiem (LBN 231-15 "Dzīvojamo un publisko ēku apkure un ventilācija") atbilstošs iekštelpu mikroklimats</w:t>
            </w:r>
            <w:r>
              <w:t xml:space="preserve">, </w:t>
            </w:r>
            <w:r w:rsidRPr="00F45F01">
              <w:t>fosilos energoresursus izmantojošu siltumenerģiju ražojošu iekārtu demontāžas izmaksas</w:t>
            </w:r>
            <w:r>
              <w:t xml:space="preserve">, </w:t>
            </w:r>
            <w:r w:rsidRPr="00F45F01">
              <w:t>projektēšanas, būvuzraudzības un autoruzraudzības izmaksas, ja tās tiek uzskaitītas par ieguldījumu izmaksām</w:t>
            </w:r>
            <w:r>
              <w:t xml:space="preserve">, </w:t>
            </w:r>
            <w:r w:rsidRPr="00F45F01">
              <w:t xml:space="preserve">izmaksas, kas saistītas ar ēkas norobežojošo konstrukciju </w:t>
            </w:r>
            <w:r w:rsidRPr="00F45F01">
              <w:lastRenderedPageBreak/>
              <w:t>pārbaudi būvniecības stadijā</w:t>
            </w:r>
            <w:r>
              <w:t xml:space="preserve"> un </w:t>
            </w:r>
            <w:r w:rsidRPr="00F45F01">
              <w:t xml:space="preserve">izmaksas, lai sagatavotu ēkas </w:t>
            </w:r>
            <w:proofErr w:type="spellStart"/>
            <w:r w:rsidRPr="00F45F01">
              <w:t>energosertifikātu</w:t>
            </w:r>
            <w:proofErr w:type="spellEnd"/>
            <w:r w:rsidRPr="00F45F01">
              <w:t xml:space="preserve"> un pārskatu par ēkas </w:t>
            </w:r>
            <w:proofErr w:type="spellStart"/>
            <w:r w:rsidRPr="00F45F01">
              <w:t>energosertifikāta</w:t>
            </w:r>
            <w:proofErr w:type="spellEnd"/>
            <w:r w:rsidRPr="00F45F01">
              <w:t xml:space="preserve"> aprēķinos izmantotajām </w:t>
            </w:r>
            <w:proofErr w:type="spellStart"/>
            <w:r w:rsidRPr="00F45F01">
              <w:t>ievaddatu</w:t>
            </w:r>
            <w:proofErr w:type="spellEnd"/>
            <w:r w:rsidRPr="00F45F01">
              <w:t xml:space="preserve"> vērtībām, ēkas tehniskās apsekošanas atzinuma izmaksas, arhitektoniski mākslinieciskās izpētes un atzinuma sagatavošanas izmaksas, atbilstoši būvniecības nozari regulējošiem normatīvajiem aktiem sagatavotas un saskaņotas būvdarbu izmaksu tāmes, būvatļaujas, apliecinājuma kartes un paskaidrojuma raksta izmaksas, kā arī ēkas energoefektivitātes pagaidu sertifikāta sastādīšanas izmaksas. Izmaksas ir attiecināmas, ja tās tiek uzskaitītas par ieguldījumu izmaksām</w:t>
            </w:r>
            <w:r>
              <w:t>.</w:t>
            </w:r>
          </w:p>
          <w:p w14:paraId="5BCF2009" w14:textId="77777777" w:rsidR="00F45F01" w:rsidRDefault="00F45F01" w:rsidP="00F518DD">
            <w:pPr>
              <w:jc w:val="both"/>
            </w:pPr>
          </w:p>
          <w:p w14:paraId="72D4BB4F" w14:textId="79AC3C1F" w:rsidR="00F45F01" w:rsidRDefault="00F45F01" w:rsidP="00F518DD">
            <w:pPr>
              <w:jc w:val="both"/>
            </w:pPr>
            <w:r>
              <w:t xml:space="preserve">Norādām, ka </w:t>
            </w:r>
            <w:r w:rsidRPr="00F45F01">
              <w:t>grīdas atjaunošana, sienu, griestu krāsošana ir attiecināmās izmaksas</w:t>
            </w:r>
            <w:r>
              <w:t xml:space="preserve"> tik</w:t>
            </w:r>
            <w:r w:rsidR="005C201B">
              <w:t>ai</w:t>
            </w:r>
            <w:r>
              <w:t xml:space="preserve"> lai nodrošinātu telpu </w:t>
            </w:r>
            <w:r w:rsidRPr="005C201B">
              <w:rPr>
                <w:b/>
                <w:bCs/>
              </w:rPr>
              <w:t>sākotnējo stāvokli</w:t>
            </w:r>
            <w:r>
              <w:t xml:space="preserve">, ja </w:t>
            </w:r>
            <w:r w:rsidR="005C201B">
              <w:t>tas nepieciešams veikt pēc e</w:t>
            </w:r>
            <w:r w:rsidR="005C201B" w:rsidRPr="005C201B">
              <w:t>nerģijas ietaupījumu un oglekļa dioksīda emisijas samazinājumu</w:t>
            </w:r>
            <w:r w:rsidR="005C201B">
              <w:t xml:space="preserve"> veicinošo aktivitāšu realizācijas un pie nosacījuma, ka nebija iespējams izvēlēties citus risinājumus, kas nepasliktinātu telpu stāvokli lokāli.</w:t>
            </w:r>
          </w:p>
        </w:tc>
      </w:tr>
      <w:tr w:rsidR="00F518DD" w14:paraId="41260EAE" w14:textId="77777777" w:rsidTr="00F518DD">
        <w:tc>
          <w:tcPr>
            <w:tcW w:w="737" w:type="dxa"/>
          </w:tcPr>
          <w:p w14:paraId="601A5490" w14:textId="1DF2EACB" w:rsidR="00F518DD" w:rsidRDefault="009D1DEB" w:rsidP="00F518DD">
            <w:pPr>
              <w:jc w:val="center"/>
            </w:pPr>
            <w:bookmarkStart w:id="1" w:name="_Hlk113886138"/>
            <w:bookmarkEnd w:id="0"/>
            <w:r>
              <w:lastRenderedPageBreak/>
              <w:t>31.</w:t>
            </w:r>
          </w:p>
        </w:tc>
        <w:tc>
          <w:tcPr>
            <w:tcW w:w="6662" w:type="dxa"/>
          </w:tcPr>
          <w:p w14:paraId="6D2AF213" w14:textId="2193F9F1" w:rsidR="00F518DD" w:rsidRDefault="009D1DEB" w:rsidP="00F518DD">
            <w:pPr>
              <w:jc w:val="both"/>
            </w:pPr>
            <w:r w:rsidRPr="009D1DEB">
              <w:t>Kāda ir maksimālā atbalsta intensitāte (%) un maksimālais publiskais finansējums (EUR) veselības aprūpes pakalpojumu sniedzējam (komersantam), kas veic saimniecisko darbību saskaņā ar Eiropas Komisijas lēmumu Nr. 2012/21/ES, nevis Komisijas regulu Nr. 651/2014?</w:t>
            </w:r>
          </w:p>
        </w:tc>
        <w:tc>
          <w:tcPr>
            <w:tcW w:w="7227" w:type="dxa"/>
          </w:tcPr>
          <w:p w14:paraId="2395B3F9" w14:textId="24DF6445" w:rsidR="00F518DD" w:rsidRDefault="00083FBA" w:rsidP="00F518DD">
            <w:pPr>
              <w:jc w:val="both"/>
            </w:pPr>
            <w:r>
              <w:t>N</w:t>
            </w:r>
            <w:r w:rsidRPr="00083FBA">
              <w:t>epārsniedz 85 % no projekta kopējām attiecināmajām izmaksām</w:t>
            </w:r>
            <w:r>
              <w:t xml:space="preserve">, ievērojot pārējos </w:t>
            </w:r>
            <w:r w:rsidRPr="00BD22F2">
              <w:t>MK noteikum</w:t>
            </w:r>
            <w:r>
              <w:t>u</w:t>
            </w:r>
            <w:r w:rsidRPr="00BD22F2">
              <w:t xml:space="preserve"> Nr. 35</w:t>
            </w:r>
            <w:r>
              <w:t xml:space="preserve"> nosacījumus.</w:t>
            </w:r>
          </w:p>
        </w:tc>
      </w:tr>
      <w:tr w:rsidR="00F518DD" w14:paraId="27965537" w14:textId="77777777" w:rsidTr="00F518DD">
        <w:tc>
          <w:tcPr>
            <w:tcW w:w="737" w:type="dxa"/>
          </w:tcPr>
          <w:p w14:paraId="6C0DFE07" w14:textId="0B6B8C7A" w:rsidR="00F518DD" w:rsidRDefault="009D1DEB" w:rsidP="00F518DD">
            <w:pPr>
              <w:jc w:val="center"/>
            </w:pPr>
            <w:r>
              <w:t>32.</w:t>
            </w:r>
          </w:p>
        </w:tc>
        <w:tc>
          <w:tcPr>
            <w:tcW w:w="6662" w:type="dxa"/>
          </w:tcPr>
          <w:p w14:paraId="6FD7440F" w14:textId="45C507A5" w:rsidR="00F518DD" w:rsidRDefault="009D1DEB" w:rsidP="00F518DD">
            <w:pPr>
              <w:jc w:val="both"/>
            </w:pPr>
            <w:r w:rsidRPr="009D1DEB">
              <w:t>Vai maksimālā atbalsta intensitāte un maksimālais publiskais finansējums mainās, ja veselības aprūpes pakalpojumu sniegšanas komersants iesniedz vairākus projekta iesniegumus?</w:t>
            </w:r>
          </w:p>
        </w:tc>
        <w:tc>
          <w:tcPr>
            <w:tcW w:w="7227" w:type="dxa"/>
          </w:tcPr>
          <w:p w14:paraId="305AD47C" w14:textId="325C007E" w:rsidR="00F518DD" w:rsidRDefault="00BD22F2" w:rsidP="00F518DD">
            <w:pPr>
              <w:jc w:val="both"/>
            </w:pPr>
            <w:r>
              <w:t>F</w:t>
            </w:r>
            <w:r w:rsidRPr="00BD22F2">
              <w:t>inanšu instrumenta izmaksu maksimālo apmēr</w:t>
            </w:r>
            <w:r>
              <w:t xml:space="preserve">u aprēķina saskaņā ar </w:t>
            </w:r>
            <w:r w:rsidRPr="00BD22F2">
              <w:t>MK noteikum</w:t>
            </w:r>
            <w:r>
              <w:t>u</w:t>
            </w:r>
            <w:r w:rsidRPr="00BD22F2">
              <w:t xml:space="preserve"> Nr. 35</w:t>
            </w:r>
            <w:r>
              <w:t xml:space="preserve"> </w:t>
            </w:r>
            <w:r w:rsidRPr="00BD22F2">
              <w:t>12.</w:t>
            </w:r>
            <w:r w:rsidRPr="00BD22F2">
              <w:rPr>
                <w:vertAlign w:val="superscript"/>
              </w:rPr>
              <w:t>5</w:t>
            </w:r>
            <w:r>
              <w:t xml:space="preserve"> apakšpunktiem.</w:t>
            </w:r>
            <w:r w:rsidR="00083FBA">
              <w:t xml:space="preserve"> Ja tiek iesniegti vairāki projekta pieteikumi par dažādām infrastruktūrām, tad </w:t>
            </w:r>
            <w:r w:rsidR="00083FBA" w:rsidRPr="00083FBA">
              <w:t>finanšu instrumenta izmaksu maksimālais apmērs</w:t>
            </w:r>
            <w:r w:rsidR="00083FBA">
              <w:t xml:space="preserve"> mainās.</w:t>
            </w:r>
          </w:p>
        </w:tc>
      </w:tr>
      <w:tr w:rsidR="00F518DD" w14:paraId="4F7448E6" w14:textId="77777777" w:rsidTr="00F518DD">
        <w:tc>
          <w:tcPr>
            <w:tcW w:w="737" w:type="dxa"/>
          </w:tcPr>
          <w:p w14:paraId="4D4FF359" w14:textId="5A6ADA6F" w:rsidR="00F518DD" w:rsidRDefault="009D1DEB" w:rsidP="00F518DD">
            <w:pPr>
              <w:jc w:val="center"/>
            </w:pPr>
            <w:r>
              <w:t>33.</w:t>
            </w:r>
          </w:p>
        </w:tc>
        <w:tc>
          <w:tcPr>
            <w:tcW w:w="6662" w:type="dxa"/>
          </w:tcPr>
          <w:p w14:paraId="0F378B68" w14:textId="77F39D44" w:rsidR="00F518DD" w:rsidRDefault="009D1DEB" w:rsidP="00F518DD">
            <w:pPr>
              <w:jc w:val="both"/>
            </w:pPr>
            <w:r w:rsidRPr="009D1DEB">
              <w:t>Ja veselības aprūpes pakalpojumu sniegšanas komersants veic saimniecisko darbību saskaņā ar Eiropas Komisijas lēmumu Nr. 2012/21/ES, vai tas nozīmē, ka projekta iesnieguma iesniedzējam nav jāiesniedz izmaksu - ieguvumu analīze?</w:t>
            </w:r>
          </w:p>
        </w:tc>
        <w:tc>
          <w:tcPr>
            <w:tcW w:w="7227" w:type="dxa"/>
          </w:tcPr>
          <w:p w14:paraId="60EBC1BD" w14:textId="7B544B3B" w:rsidR="00F518DD" w:rsidRDefault="001F5565" w:rsidP="00F518DD">
            <w:pPr>
              <w:jc w:val="both"/>
            </w:pPr>
            <w:r w:rsidRPr="00BD22F2">
              <w:t>MK noteikumi Nr. 35</w:t>
            </w:r>
            <w:r>
              <w:t xml:space="preserve"> 24. punkts nosaka, ka izmaksu un ieguvumu analīzi iesniedz p</w:t>
            </w:r>
            <w:r w:rsidRPr="001F5565">
              <w:t>rojekta iesniedzējs, kas veic saimniecisko darbību un kam atbalsta sniegšana šā konkursa ietvaros kvalificējama kā komercdarbības atbalsts atbilstoši Komisijas regulas Nr.  651/2014 53. pantam</w:t>
            </w:r>
            <w:r>
              <w:t>.</w:t>
            </w:r>
          </w:p>
        </w:tc>
      </w:tr>
      <w:tr w:rsidR="00F518DD" w14:paraId="02D01540" w14:textId="77777777" w:rsidTr="00F518DD">
        <w:tc>
          <w:tcPr>
            <w:tcW w:w="737" w:type="dxa"/>
          </w:tcPr>
          <w:p w14:paraId="3B1D8635" w14:textId="02AA7D00" w:rsidR="00F518DD" w:rsidRDefault="009D1DEB" w:rsidP="00F518DD">
            <w:pPr>
              <w:jc w:val="center"/>
            </w:pPr>
            <w:r>
              <w:t>34.</w:t>
            </w:r>
          </w:p>
        </w:tc>
        <w:tc>
          <w:tcPr>
            <w:tcW w:w="6662" w:type="dxa"/>
          </w:tcPr>
          <w:p w14:paraId="76B2733F" w14:textId="6D57BB0B" w:rsidR="00F518DD" w:rsidRDefault="009D1DEB" w:rsidP="00F518DD">
            <w:pPr>
              <w:jc w:val="both"/>
            </w:pPr>
            <w:r w:rsidRPr="009D1DEB">
              <w:t>Ja projekta iesniedzējam ir jāveic izmaksu - ieguvumu analīze, kādas ir minimālās prasības šīs analīzes saturam?</w:t>
            </w:r>
          </w:p>
        </w:tc>
        <w:tc>
          <w:tcPr>
            <w:tcW w:w="7227" w:type="dxa"/>
          </w:tcPr>
          <w:p w14:paraId="36FC297B" w14:textId="47CCC7D7" w:rsidR="00F518DD" w:rsidRDefault="00BD22F2" w:rsidP="00F518DD">
            <w:pPr>
              <w:jc w:val="both"/>
            </w:pPr>
            <w:r w:rsidRPr="00BD22F2">
              <w:t>MK noteikumi Nr. 35</w:t>
            </w:r>
            <w:r>
              <w:t xml:space="preserve"> nenosaka </w:t>
            </w:r>
            <w:r w:rsidRPr="00BD22F2">
              <w:t xml:space="preserve">Izmaksu un ieguvumu analīzes </w:t>
            </w:r>
            <w:r>
              <w:t xml:space="preserve">detalizācijas pakāpi. Ieteikums izmantot VARAM tīmekļa vietnē ievietoto paraugu: </w:t>
            </w:r>
            <w:hyperlink r:id="rId8" w:history="1">
              <w:r w:rsidRPr="00872C1C">
                <w:rPr>
                  <w:rStyle w:val="Hyperlink"/>
                </w:rPr>
                <w:t>https://www.varam.gov.lv/lv/izmaksu-un-ieguvumu-analizes-metodika-0</w:t>
              </w:r>
            </w:hyperlink>
            <w:r>
              <w:t xml:space="preserve"> </w:t>
            </w:r>
          </w:p>
        </w:tc>
      </w:tr>
      <w:tr w:rsidR="00F518DD" w14:paraId="523BEBD3" w14:textId="77777777" w:rsidTr="00F518DD">
        <w:tc>
          <w:tcPr>
            <w:tcW w:w="737" w:type="dxa"/>
          </w:tcPr>
          <w:p w14:paraId="03CBE942" w14:textId="6FD0AB9D" w:rsidR="00F518DD" w:rsidRDefault="009D1DEB" w:rsidP="00F518DD">
            <w:pPr>
              <w:jc w:val="center"/>
            </w:pPr>
            <w:r>
              <w:t>35.</w:t>
            </w:r>
          </w:p>
        </w:tc>
        <w:tc>
          <w:tcPr>
            <w:tcW w:w="6662" w:type="dxa"/>
          </w:tcPr>
          <w:p w14:paraId="40C03483" w14:textId="4981A31D" w:rsidR="00F518DD" w:rsidRDefault="009D1DEB" w:rsidP="00F518DD">
            <w:pPr>
              <w:jc w:val="both"/>
            </w:pPr>
            <w:r w:rsidRPr="009D1DEB">
              <w:t>Ja projekts paredz projekta aktivitātes vairākās ēkās, kurām ir dažādas kvalitātes vērtēšanas kritēriju rādītāju skaitliskās vērtības (piemēram, dažāda projekta īstenošanas gatavības pakāpe), kā tiks piemēroti kvalitātes vērtēšanas kritēriji (piemēram, aritmētiskais vidējais vērtējums)?</w:t>
            </w:r>
          </w:p>
        </w:tc>
        <w:tc>
          <w:tcPr>
            <w:tcW w:w="7227" w:type="dxa"/>
          </w:tcPr>
          <w:p w14:paraId="28AB6484" w14:textId="2205B34D" w:rsidR="00F518DD" w:rsidRDefault="00155A94" w:rsidP="00F518DD">
            <w:pPr>
              <w:jc w:val="both"/>
            </w:pPr>
            <w:r>
              <w:t xml:space="preserve">Pie kvalitātes vērtēšanas tiks ņemts sliktākais parametrs, izņemot trešo un ceturto </w:t>
            </w:r>
            <w:r w:rsidRPr="009D1DEB">
              <w:t xml:space="preserve">kvalitātes vērtēšanas </w:t>
            </w:r>
            <w:r>
              <w:t>kritēriju</w:t>
            </w:r>
            <w:r w:rsidR="00C82291">
              <w:t>, kur rēķina kopēji par visām ēkām. Kritērijā “</w:t>
            </w:r>
            <w:r w:rsidR="00C82291" w:rsidRPr="00C82291">
              <w:t>Plānotais apmeklējumu skaits ēkā pēc projekta īstenošanas termiņa beigām</w:t>
            </w:r>
            <w:r w:rsidR="00C82291">
              <w:t>” tiks ņemts vērā sliktākais parametrs, ja vien netiks norādīts, ka ēkas ir kompleksa kopums un apmeklētāju skaits norādīts kopumā par visu kompleksu.</w:t>
            </w:r>
          </w:p>
        </w:tc>
      </w:tr>
      <w:tr w:rsidR="00F518DD" w14:paraId="187CC25B" w14:textId="77777777" w:rsidTr="00F518DD">
        <w:tc>
          <w:tcPr>
            <w:tcW w:w="737" w:type="dxa"/>
          </w:tcPr>
          <w:p w14:paraId="5FD2EF9E" w14:textId="58831A99" w:rsidR="00F518DD" w:rsidRDefault="009D1DEB" w:rsidP="00F518DD">
            <w:pPr>
              <w:jc w:val="center"/>
            </w:pPr>
            <w:r>
              <w:t>36.</w:t>
            </w:r>
          </w:p>
        </w:tc>
        <w:tc>
          <w:tcPr>
            <w:tcW w:w="6662" w:type="dxa"/>
          </w:tcPr>
          <w:p w14:paraId="3A3F64CE" w14:textId="1A9355E4" w:rsidR="00F518DD" w:rsidRDefault="009D1DEB" w:rsidP="00F518DD">
            <w:pPr>
              <w:jc w:val="both"/>
            </w:pPr>
            <w:r w:rsidRPr="009D1DEB">
              <w:t xml:space="preserve">Ja projektam iesniedzējam ir vairākas ēkas, kas atzītas par valsts nozīmes arhitektūras pieminekļiem (piemēram, četras ēkas), vai projekta iesniedzējs drīkst iesniegt tikai vienu projekta iesniegumu (iekļaujot četras ēkas) vai arī </w:t>
            </w:r>
            <w:r w:rsidRPr="009D1DEB">
              <w:lastRenderedPageBreak/>
              <w:t>drīkst iesniegt vairākus projekta iesniegumus (piemēram, divi projekta iesniegumi katrs ar divām ēkām)?</w:t>
            </w:r>
          </w:p>
        </w:tc>
        <w:tc>
          <w:tcPr>
            <w:tcW w:w="7227" w:type="dxa"/>
          </w:tcPr>
          <w:p w14:paraId="2D0AF599" w14:textId="2F9DDB8C" w:rsidR="00F518DD" w:rsidRDefault="009D1DEB" w:rsidP="00F518DD">
            <w:pPr>
              <w:jc w:val="both"/>
            </w:pPr>
            <w:r>
              <w:lastRenderedPageBreak/>
              <w:t xml:space="preserve">Par vienu valsts nozīmes arhitektūras pieminekli var iesniegt tikai vienu projekta iesniegumu. Ja ir vairākas ēkas un katra atsevišķi ir valsts nozīmes arhitektūras </w:t>
            </w:r>
            <w:r>
              <w:lastRenderedPageBreak/>
              <w:t>piemineklis, tad par katru valsts nozīmes arhitektūras pieminekli var iesniegt atsevišķu projekta iesniegumu.</w:t>
            </w:r>
          </w:p>
        </w:tc>
      </w:tr>
      <w:tr w:rsidR="00F518DD" w14:paraId="1D733E0F" w14:textId="77777777" w:rsidTr="00F518DD">
        <w:tc>
          <w:tcPr>
            <w:tcW w:w="737" w:type="dxa"/>
          </w:tcPr>
          <w:p w14:paraId="0538D363" w14:textId="0AF1FA1B" w:rsidR="00F518DD" w:rsidRDefault="00665F3C" w:rsidP="00F518DD">
            <w:pPr>
              <w:jc w:val="center"/>
            </w:pPr>
            <w:bookmarkStart w:id="2" w:name="_Hlk114515924"/>
            <w:bookmarkEnd w:id="1"/>
            <w:r>
              <w:lastRenderedPageBreak/>
              <w:t>37.</w:t>
            </w:r>
          </w:p>
        </w:tc>
        <w:tc>
          <w:tcPr>
            <w:tcW w:w="6662" w:type="dxa"/>
          </w:tcPr>
          <w:p w14:paraId="70122486" w14:textId="71EF496E" w:rsidR="00F518DD" w:rsidRDefault="00665F3C" w:rsidP="00F518DD">
            <w:pPr>
              <w:jc w:val="both"/>
            </w:pPr>
            <w:r w:rsidRPr="00665F3C">
              <w:t>Ja ēkā tiek iznomātas telpas, vai pie projekta iesniegšanas ir jāiesniedz visi nomas līgumi?</w:t>
            </w:r>
          </w:p>
        </w:tc>
        <w:tc>
          <w:tcPr>
            <w:tcW w:w="7227" w:type="dxa"/>
          </w:tcPr>
          <w:p w14:paraId="0310254A" w14:textId="1222F953" w:rsidR="00F518DD" w:rsidRDefault="00665F3C" w:rsidP="00F518DD">
            <w:pPr>
              <w:jc w:val="both"/>
            </w:pPr>
            <w:r w:rsidRPr="00665F3C">
              <w:t>MK noteikumi Nr. 35</w:t>
            </w:r>
            <w:r>
              <w:t xml:space="preserve"> nenosaka prasību iesniegt nomas līgumus. Ieteikums ir sniegt aprakstu par iznomātajām telpām sadaļā </w:t>
            </w:r>
            <w:r w:rsidRPr="00665F3C">
              <w:t>2.2. Projekta kopsavilkums</w:t>
            </w:r>
          </w:p>
        </w:tc>
      </w:tr>
      <w:tr w:rsidR="00F518DD" w14:paraId="6ED90E86" w14:textId="77777777" w:rsidTr="00F518DD">
        <w:tc>
          <w:tcPr>
            <w:tcW w:w="737" w:type="dxa"/>
          </w:tcPr>
          <w:p w14:paraId="69208570" w14:textId="3102CCD2" w:rsidR="00F518DD" w:rsidRDefault="00B73580" w:rsidP="00F518DD">
            <w:pPr>
              <w:jc w:val="center"/>
            </w:pPr>
            <w:bookmarkStart w:id="3" w:name="_Hlk114667129"/>
            <w:bookmarkEnd w:id="2"/>
            <w:r>
              <w:t>38.</w:t>
            </w:r>
          </w:p>
        </w:tc>
        <w:tc>
          <w:tcPr>
            <w:tcW w:w="6662" w:type="dxa"/>
          </w:tcPr>
          <w:p w14:paraId="2FDA688A" w14:textId="77777777" w:rsidR="00B73580" w:rsidRDefault="00B73580" w:rsidP="00B73580">
            <w:pPr>
              <w:jc w:val="both"/>
            </w:pPr>
            <w:r>
              <w:t>"Pievienotas dokumentu kopijas, kas apliecina saražoto, patērēto un iepirkto elektroenerģijas apjomu un saražoto, patērēto un iepirkto siltumenerģijas apjomu ēkā, kurā plānotas projekta aktivitātes, vismaz piecos pēdējos pilnos kalendāra gados pēc kārtas, ..."</w:t>
            </w:r>
          </w:p>
          <w:p w14:paraId="68E93DD6" w14:textId="77777777" w:rsidR="00B73580" w:rsidRDefault="00B73580" w:rsidP="00B73580">
            <w:pPr>
              <w:jc w:val="both"/>
            </w:pPr>
          </w:p>
          <w:p w14:paraId="56F6346D" w14:textId="77777777" w:rsidR="00B73580" w:rsidRDefault="00B73580" w:rsidP="00B73580">
            <w:pPr>
              <w:jc w:val="both"/>
            </w:pPr>
            <w:r>
              <w:t>Plānojam iesniegt rēķinus, bet vienā rēķinā par elektroenerģiju ir visi mūsu objekti, līdz ar to rēķins ir uz ~15-17 lpp. un kopā par 5 gadiem, tas būs gandrīz 1000 lpp., sakiet vai ir pieļaujams, sniegt tikai rēķina lapaspusi, kurā redzami dati par pieteikto objektu?</w:t>
            </w:r>
          </w:p>
          <w:p w14:paraId="3E4612D6" w14:textId="77777777" w:rsidR="00B73580" w:rsidRDefault="00B73580" w:rsidP="00B73580">
            <w:pPr>
              <w:jc w:val="both"/>
            </w:pPr>
          </w:p>
          <w:p w14:paraId="1FAC0F2D" w14:textId="214D8265" w:rsidR="00F518DD" w:rsidRDefault="00B73580" w:rsidP="00B73580">
            <w:pPr>
              <w:jc w:val="both"/>
            </w:pPr>
            <w:r>
              <w:t>Vai nepieciešams apliecināt dokumentu kopijas (plānojam iesniegt pieteikumu elektroniski)?</w:t>
            </w:r>
          </w:p>
        </w:tc>
        <w:tc>
          <w:tcPr>
            <w:tcW w:w="7227" w:type="dxa"/>
          </w:tcPr>
          <w:p w14:paraId="54FB7B8B" w14:textId="77777777" w:rsidR="00F518DD" w:rsidRDefault="00B73580" w:rsidP="00F518DD">
            <w:pPr>
              <w:jc w:val="both"/>
            </w:pPr>
            <w:r>
              <w:t>Iesniedzot rēķinus elektroniski, tos apliecina parakstot ar elektronisko parakstu (var visus rēķinus ielikt vienā e-dokumentā).</w:t>
            </w:r>
          </w:p>
          <w:p w14:paraId="26CF03FF" w14:textId="74E5B621" w:rsidR="00B73580" w:rsidRDefault="00B73580" w:rsidP="00F518DD">
            <w:pPr>
              <w:jc w:val="both"/>
            </w:pPr>
            <w:r>
              <w:t>Rēķinus var aizstāt ar elektroenerģijas tirgotāja apstiprinātu pārskatu par elektrības patēriņu konkrētajā adresē. Atsevišķas rēķina lapaspuses pievienošana ir pieļaujama tikai tajos gadījumos, ja ir iespējams skaidri identificēt objektu par ko tas izrakstīts un periodu.</w:t>
            </w:r>
          </w:p>
        </w:tc>
      </w:tr>
      <w:bookmarkEnd w:id="3"/>
      <w:tr w:rsidR="00F518DD" w14:paraId="62438685" w14:textId="77777777" w:rsidTr="00F518DD">
        <w:tc>
          <w:tcPr>
            <w:tcW w:w="737" w:type="dxa"/>
          </w:tcPr>
          <w:p w14:paraId="2D3769EE" w14:textId="77777777" w:rsidR="00F518DD" w:rsidRDefault="00F518DD" w:rsidP="00F518DD">
            <w:pPr>
              <w:jc w:val="center"/>
            </w:pPr>
          </w:p>
        </w:tc>
        <w:tc>
          <w:tcPr>
            <w:tcW w:w="6662" w:type="dxa"/>
          </w:tcPr>
          <w:p w14:paraId="41E7AC99" w14:textId="77777777" w:rsidR="00F518DD" w:rsidRDefault="00F518DD" w:rsidP="00F518DD">
            <w:pPr>
              <w:jc w:val="both"/>
            </w:pPr>
          </w:p>
        </w:tc>
        <w:tc>
          <w:tcPr>
            <w:tcW w:w="7227" w:type="dxa"/>
          </w:tcPr>
          <w:p w14:paraId="6FD53AF4" w14:textId="77777777" w:rsidR="00F518DD" w:rsidRDefault="00F518DD" w:rsidP="00F518DD">
            <w:pPr>
              <w:jc w:val="both"/>
            </w:pPr>
          </w:p>
        </w:tc>
      </w:tr>
    </w:tbl>
    <w:p w14:paraId="5A86C11D" w14:textId="77777777" w:rsidR="00F518DD" w:rsidRDefault="00F518DD"/>
    <w:sectPr w:rsidR="00F518DD" w:rsidSect="00F518D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DD"/>
    <w:rsid w:val="00076191"/>
    <w:rsid w:val="00083FBA"/>
    <w:rsid w:val="00155A94"/>
    <w:rsid w:val="001F5565"/>
    <w:rsid w:val="00326684"/>
    <w:rsid w:val="0039187E"/>
    <w:rsid w:val="005C201B"/>
    <w:rsid w:val="005C266A"/>
    <w:rsid w:val="00665F3C"/>
    <w:rsid w:val="008A41ED"/>
    <w:rsid w:val="009D1DEB"/>
    <w:rsid w:val="00AF1ED3"/>
    <w:rsid w:val="00B73580"/>
    <w:rsid w:val="00BD22F2"/>
    <w:rsid w:val="00C00F45"/>
    <w:rsid w:val="00C82291"/>
    <w:rsid w:val="00DE34DD"/>
    <w:rsid w:val="00EF5231"/>
    <w:rsid w:val="00F45F01"/>
    <w:rsid w:val="00F518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7DD7"/>
  <w15:chartTrackingRefBased/>
  <w15:docId w15:val="{82A1A443-B222-4046-B1D3-7D986DF1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DD"/>
    <w:rPr>
      <w:color w:val="0000FF" w:themeColor="hyperlink"/>
      <w:u w:val="single"/>
    </w:rPr>
  </w:style>
  <w:style w:type="table" w:styleId="TableGrid">
    <w:name w:val="Table Grid"/>
    <w:basedOn w:val="TableNormal"/>
    <w:uiPriority w:val="59"/>
    <w:unhideWhenUsed/>
    <w:rsid w:val="00F5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ram.gov.lv/lv/izmaksu-un-ieguvumu-analizes-metodika-0" TargetMode="External"/><Relationship Id="rId3" Type="http://schemas.openxmlformats.org/officeDocument/2006/relationships/webSettings" Target="webSettings.xml"/><Relationship Id="rId7" Type="http://schemas.openxmlformats.org/officeDocument/2006/relationships/hyperlink" Target="https://likumi.lv/ta/id/267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kii.lv/uploads/files/EKII/EKII1_1/EKII_01_finanses.xlsx" TargetMode="External"/><Relationship Id="rId5" Type="http://schemas.openxmlformats.org/officeDocument/2006/relationships/hyperlink" Target="http://www.kadastrs.lv" TargetMode="External"/><Relationship Id="rId10" Type="http://schemas.openxmlformats.org/officeDocument/2006/relationships/theme" Target="theme/theme1.xml"/><Relationship Id="rId4" Type="http://schemas.openxmlformats.org/officeDocument/2006/relationships/hyperlink" Target="http://likumi.lv/ta/id/27983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15178</Words>
  <Characters>8653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Vides investīciju fonds</dc:creator>
  <cp:keywords/>
  <dc:description/>
  <cp:lastModifiedBy>Vides investīciju fonds</cp:lastModifiedBy>
  <cp:revision>5</cp:revision>
  <dcterms:created xsi:type="dcterms:W3CDTF">2022-09-06T18:07:00Z</dcterms:created>
  <dcterms:modified xsi:type="dcterms:W3CDTF">2022-09-21T12:38:00Z</dcterms:modified>
</cp:coreProperties>
</file>