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1F580" w14:textId="77777777" w:rsidR="00AB59BD" w:rsidRPr="00AB59BD" w:rsidRDefault="00AB59BD" w:rsidP="00AB59BD">
      <w:pPr>
        <w:jc w:val="center"/>
        <w:rPr>
          <w:b/>
        </w:rPr>
      </w:pPr>
      <w:r w:rsidRPr="00AB59BD">
        <w:rPr>
          <w:b/>
        </w:rPr>
        <w:t>Atbildes uz uzdotajiem jautājumiem par</w:t>
      </w:r>
    </w:p>
    <w:p w14:paraId="4BA41B06" w14:textId="77777777" w:rsidR="00AB59BD" w:rsidRPr="00AB59BD" w:rsidRDefault="00AB59BD" w:rsidP="00AB59BD">
      <w:pPr>
        <w:jc w:val="center"/>
        <w:rPr>
          <w:b/>
        </w:rPr>
      </w:pPr>
      <w:r w:rsidRPr="00AB59BD">
        <w:rPr>
          <w:b/>
        </w:rPr>
        <w:t>Emisijas kvotu izsolīšanas instrumenta finansēto projektu atklāta konkursu</w:t>
      </w:r>
    </w:p>
    <w:p w14:paraId="71AD81C1" w14:textId="77777777" w:rsidR="00AB59BD" w:rsidRPr="00AB59BD" w:rsidRDefault="00AB59BD" w:rsidP="00AB59BD">
      <w:pPr>
        <w:jc w:val="center"/>
        <w:rPr>
          <w:b/>
        </w:rPr>
      </w:pPr>
      <w:r w:rsidRPr="00AB59BD">
        <w:rPr>
          <w:b/>
        </w:rPr>
        <w:t>"Siltumnīcefekta gāzu emisiju samazināšana valsts nozīmes aizsargājamos arhitektūras pieminekļos"</w:t>
      </w:r>
    </w:p>
    <w:p w14:paraId="2857BB61" w14:textId="77777777" w:rsidR="00AB59BD" w:rsidRPr="00B3390A" w:rsidRDefault="00AB59BD" w:rsidP="00AB59BD"/>
    <w:p w14:paraId="48BC523A" w14:textId="77777777" w:rsidR="00AB59BD" w:rsidRPr="00AB59BD" w:rsidRDefault="00AB59BD" w:rsidP="00AB59BD">
      <w:pPr>
        <w:rPr>
          <w:i/>
        </w:rPr>
      </w:pPr>
      <w:r w:rsidRPr="00AB59BD">
        <w:rPr>
          <w:i/>
        </w:rPr>
        <w:t xml:space="preserve">Lietotie saīsinājumi: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90"/>
        <w:gridCol w:w="12336"/>
      </w:tblGrid>
      <w:tr w:rsidR="00AB59BD" w:rsidRPr="00AB59BD" w14:paraId="7F0F1678" w14:textId="77777777" w:rsidTr="00AB59BD">
        <w:tc>
          <w:tcPr>
            <w:tcW w:w="2290" w:type="dxa"/>
          </w:tcPr>
          <w:p w14:paraId="7BAB5AAD" w14:textId="77777777" w:rsidR="00AB59BD" w:rsidRPr="00AB59BD" w:rsidRDefault="00AB59BD" w:rsidP="00F87C4A">
            <w:pPr>
              <w:rPr>
                <w:b/>
                <w:sz w:val="20"/>
                <w:szCs w:val="20"/>
              </w:rPr>
            </w:pPr>
            <w:r w:rsidRPr="00AB59BD">
              <w:rPr>
                <w:b/>
                <w:sz w:val="20"/>
                <w:szCs w:val="20"/>
              </w:rPr>
              <w:t>ES</w:t>
            </w:r>
          </w:p>
        </w:tc>
        <w:tc>
          <w:tcPr>
            <w:tcW w:w="12336" w:type="dxa"/>
          </w:tcPr>
          <w:p w14:paraId="77C2965B" w14:textId="77777777" w:rsidR="00AB59BD" w:rsidRPr="00AB59BD" w:rsidRDefault="00AB59BD" w:rsidP="00F87C4A">
            <w:pPr>
              <w:rPr>
                <w:sz w:val="20"/>
                <w:szCs w:val="20"/>
              </w:rPr>
            </w:pPr>
            <w:r w:rsidRPr="00AB59BD">
              <w:rPr>
                <w:sz w:val="20"/>
                <w:szCs w:val="20"/>
              </w:rPr>
              <w:t>Eiropas Savienība</w:t>
            </w:r>
          </w:p>
        </w:tc>
      </w:tr>
      <w:tr w:rsidR="00AB59BD" w:rsidRPr="00AB59BD" w14:paraId="450A6679" w14:textId="77777777" w:rsidTr="00AB59BD">
        <w:tc>
          <w:tcPr>
            <w:tcW w:w="2290" w:type="dxa"/>
          </w:tcPr>
          <w:p w14:paraId="00DDEBB7" w14:textId="77777777" w:rsidR="00AB59BD" w:rsidRPr="00AB59BD" w:rsidRDefault="00AB59BD" w:rsidP="00B62CF1">
            <w:pPr>
              <w:rPr>
                <w:b/>
                <w:sz w:val="20"/>
                <w:szCs w:val="20"/>
              </w:rPr>
            </w:pPr>
            <w:r w:rsidRPr="00AB59BD">
              <w:rPr>
                <w:b/>
                <w:sz w:val="20"/>
                <w:szCs w:val="20"/>
              </w:rPr>
              <w:t>VARAM</w:t>
            </w:r>
          </w:p>
        </w:tc>
        <w:tc>
          <w:tcPr>
            <w:tcW w:w="12336" w:type="dxa"/>
          </w:tcPr>
          <w:p w14:paraId="5CA8712B" w14:textId="77777777" w:rsidR="00AB59BD" w:rsidRPr="00AB59BD" w:rsidRDefault="00AB59BD" w:rsidP="00B62CF1">
            <w:pPr>
              <w:rPr>
                <w:sz w:val="20"/>
                <w:szCs w:val="20"/>
              </w:rPr>
            </w:pPr>
            <w:r w:rsidRPr="00AB59BD">
              <w:rPr>
                <w:sz w:val="20"/>
                <w:szCs w:val="20"/>
              </w:rPr>
              <w:t>Vides aizsardzības un reģionālās attīstības ministrija</w:t>
            </w:r>
          </w:p>
        </w:tc>
      </w:tr>
      <w:tr w:rsidR="00AB59BD" w:rsidRPr="00AB59BD" w14:paraId="06930519" w14:textId="77777777" w:rsidTr="00983322">
        <w:tc>
          <w:tcPr>
            <w:tcW w:w="2290" w:type="dxa"/>
          </w:tcPr>
          <w:p w14:paraId="3B0A0BD2" w14:textId="77777777" w:rsidR="00AB59BD" w:rsidRPr="00AB59BD" w:rsidRDefault="00AB59BD" w:rsidP="00983322">
            <w:pPr>
              <w:rPr>
                <w:b/>
                <w:sz w:val="20"/>
                <w:szCs w:val="20"/>
              </w:rPr>
            </w:pPr>
            <w:r w:rsidRPr="00AB59BD">
              <w:rPr>
                <w:b/>
                <w:sz w:val="20"/>
                <w:szCs w:val="20"/>
              </w:rPr>
              <w:t>LVIF</w:t>
            </w:r>
          </w:p>
        </w:tc>
        <w:tc>
          <w:tcPr>
            <w:tcW w:w="12336" w:type="dxa"/>
          </w:tcPr>
          <w:p w14:paraId="0B74454B" w14:textId="77777777" w:rsidR="00AB59BD" w:rsidRPr="00AB59BD" w:rsidRDefault="00AB59BD" w:rsidP="00983322">
            <w:pPr>
              <w:rPr>
                <w:sz w:val="20"/>
                <w:szCs w:val="20"/>
              </w:rPr>
            </w:pPr>
            <w:r w:rsidRPr="00AB59BD">
              <w:rPr>
                <w:sz w:val="20"/>
                <w:szCs w:val="20"/>
              </w:rPr>
              <w:t>Valsts sabiedrība ar ierobežotu atbildību „Vides investīciju fonds”</w:t>
            </w:r>
          </w:p>
        </w:tc>
      </w:tr>
      <w:tr w:rsidR="00AB59BD" w:rsidRPr="00AB59BD" w14:paraId="7C49E556" w14:textId="77777777" w:rsidTr="00AB59BD">
        <w:tc>
          <w:tcPr>
            <w:tcW w:w="2290" w:type="dxa"/>
          </w:tcPr>
          <w:p w14:paraId="5137420F" w14:textId="77777777" w:rsidR="00AB59BD" w:rsidRPr="00AB59BD" w:rsidRDefault="00AB59BD" w:rsidP="00F87C4A">
            <w:pPr>
              <w:rPr>
                <w:b/>
                <w:sz w:val="20"/>
                <w:szCs w:val="20"/>
              </w:rPr>
            </w:pPr>
            <w:r w:rsidRPr="00AB59BD">
              <w:rPr>
                <w:b/>
                <w:sz w:val="20"/>
                <w:szCs w:val="20"/>
              </w:rPr>
              <w:t>EKII</w:t>
            </w:r>
          </w:p>
        </w:tc>
        <w:tc>
          <w:tcPr>
            <w:tcW w:w="12336" w:type="dxa"/>
          </w:tcPr>
          <w:p w14:paraId="4FEE1935" w14:textId="77777777" w:rsidR="00AB59BD" w:rsidRPr="00AB59BD" w:rsidRDefault="00AB59BD" w:rsidP="00F87C4A">
            <w:pPr>
              <w:rPr>
                <w:sz w:val="20"/>
                <w:szCs w:val="20"/>
              </w:rPr>
            </w:pPr>
            <w:r w:rsidRPr="00AB59BD">
              <w:rPr>
                <w:sz w:val="20"/>
                <w:szCs w:val="20"/>
              </w:rPr>
              <w:t>Emisijas kvotu izsolīšanas instruments (turpmāk tekstā arī – finanšu instruments)</w:t>
            </w:r>
          </w:p>
        </w:tc>
      </w:tr>
      <w:tr w:rsidR="00AB59BD" w:rsidRPr="00AB59BD" w14:paraId="35574A43" w14:textId="77777777" w:rsidTr="00AB59BD">
        <w:tc>
          <w:tcPr>
            <w:tcW w:w="2290" w:type="dxa"/>
          </w:tcPr>
          <w:p w14:paraId="39F00157" w14:textId="77777777" w:rsidR="00AB59BD" w:rsidRPr="00AB59BD" w:rsidRDefault="00AB59BD" w:rsidP="00F87C4A">
            <w:pPr>
              <w:rPr>
                <w:b/>
                <w:sz w:val="20"/>
                <w:szCs w:val="20"/>
              </w:rPr>
            </w:pPr>
            <w:r w:rsidRPr="00AB59BD">
              <w:rPr>
                <w:b/>
                <w:sz w:val="20"/>
                <w:szCs w:val="20"/>
              </w:rPr>
              <w:t>MK</w:t>
            </w:r>
          </w:p>
        </w:tc>
        <w:tc>
          <w:tcPr>
            <w:tcW w:w="12336" w:type="dxa"/>
          </w:tcPr>
          <w:p w14:paraId="47702C10" w14:textId="77777777" w:rsidR="00AB59BD" w:rsidRPr="00AB59BD" w:rsidRDefault="00AB59BD" w:rsidP="00F87C4A">
            <w:pPr>
              <w:rPr>
                <w:sz w:val="20"/>
                <w:szCs w:val="20"/>
              </w:rPr>
            </w:pPr>
            <w:r w:rsidRPr="00AB59BD">
              <w:rPr>
                <w:sz w:val="20"/>
                <w:szCs w:val="20"/>
              </w:rPr>
              <w:t>Ministru kabinets</w:t>
            </w:r>
          </w:p>
        </w:tc>
      </w:tr>
      <w:tr w:rsidR="00AB59BD" w:rsidRPr="00AB59BD" w14:paraId="0941F568" w14:textId="77777777" w:rsidTr="00AB59BD">
        <w:tc>
          <w:tcPr>
            <w:tcW w:w="2290" w:type="dxa"/>
          </w:tcPr>
          <w:p w14:paraId="70C8CE1E" w14:textId="77777777" w:rsidR="00AB59BD" w:rsidRPr="00AB59BD" w:rsidRDefault="00AB59BD" w:rsidP="00F87C4A">
            <w:pPr>
              <w:rPr>
                <w:b/>
                <w:sz w:val="20"/>
                <w:szCs w:val="20"/>
              </w:rPr>
            </w:pPr>
            <w:r w:rsidRPr="00AB59BD">
              <w:rPr>
                <w:b/>
                <w:sz w:val="20"/>
                <w:szCs w:val="20"/>
              </w:rPr>
              <w:t>MK noteikumi Nr.35</w:t>
            </w:r>
          </w:p>
        </w:tc>
        <w:tc>
          <w:tcPr>
            <w:tcW w:w="12336" w:type="dxa"/>
          </w:tcPr>
          <w:p w14:paraId="629856AC" w14:textId="77777777" w:rsidR="00AB59BD" w:rsidRPr="00AB59BD" w:rsidRDefault="00AB59BD" w:rsidP="00AB59BD">
            <w:pPr>
              <w:rPr>
                <w:sz w:val="20"/>
                <w:szCs w:val="20"/>
              </w:rPr>
            </w:pPr>
            <w:r w:rsidRPr="00AB59BD">
              <w:rPr>
                <w:sz w:val="20"/>
                <w:szCs w:val="20"/>
              </w:rPr>
              <w:t xml:space="preserve">Ministru kabineta 2016.gada 12.janvāra noteikumi Nr.35 „Emisijas kvotu izsolīšanas instrumenta finansēto projektu atklāta konkursa „Siltumnīcefekta gāzu emisiju samazināšana valsts nozīmes aizsargājamos arhitektūras pieminekļos” nolikums”. </w:t>
            </w:r>
            <w:hyperlink r:id="rId9" w:history="1">
              <w:r w:rsidRPr="00794E8C">
                <w:rPr>
                  <w:rStyle w:val="Hyperlink"/>
                  <w:sz w:val="20"/>
                  <w:szCs w:val="20"/>
                </w:rPr>
                <w:t>http://likumi.lv/ta/id/279830</w:t>
              </w:r>
            </w:hyperlink>
            <w:r>
              <w:rPr>
                <w:sz w:val="20"/>
                <w:szCs w:val="20"/>
              </w:rPr>
              <w:t xml:space="preserve"> </w:t>
            </w:r>
          </w:p>
        </w:tc>
      </w:tr>
      <w:tr w:rsidR="00AB59BD" w:rsidRPr="00AB59BD" w14:paraId="1460E9AD" w14:textId="77777777" w:rsidTr="00415BE0">
        <w:tc>
          <w:tcPr>
            <w:tcW w:w="2290" w:type="dxa"/>
          </w:tcPr>
          <w:p w14:paraId="42703FFE" w14:textId="77777777" w:rsidR="00AB59BD" w:rsidRPr="00AB59BD" w:rsidRDefault="00AB59BD" w:rsidP="00415BE0">
            <w:pPr>
              <w:rPr>
                <w:b/>
                <w:sz w:val="20"/>
                <w:szCs w:val="20"/>
              </w:rPr>
            </w:pPr>
            <w:r w:rsidRPr="00AB59BD">
              <w:rPr>
                <w:b/>
                <w:sz w:val="20"/>
                <w:szCs w:val="20"/>
              </w:rPr>
              <w:t>CO</w:t>
            </w:r>
            <w:r w:rsidRPr="00AB59BD">
              <w:rPr>
                <w:b/>
                <w:sz w:val="20"/>
                <w:szCs w:val="20"/>
                <w:vertAlign w:val="subscript"/>
              </w:rPr>
              <w:t>2</w:t>
            </w:r>
          </w:p>
        </w:tc>
        <w:tc>
          <w:tcPr>
            <w:tcW w:w="12336" w:type="dxa"/>
          </w:tcPr>
          <w:p w14:paraId="6753C95D" w14:textId="77777777" w:rsidR="00AB59BD" w:rsidRPr="00AB59BD" w:rsidRDefault="00AB59BD" w:rsidP="00415BE0">
            <w:pPr>
              <w:rPr>
                <w:sz w:val="20"/>
                <w:szCs w:val="20"/>
              </w:rPr>
            </w:pPr>
            <w:r w:rsidRPr="00AB59BD">
              <w:rPr>
                <w:sz w:val="20"/>
                <w:szCs w:val="20"/>
              </w:rPr>
              <w:t>Oglekļa dioksīds</w:t>
            </w:r>
          </w:p>
        </w:tc>
      </w:tr>
      <w:tr w:rsidR="00AB59BD" w:rsidRPr="00AB59BD" w14:paraId="51FB5DEC" w14:textId="77777777" w:rsidTr="00AB59BD">
        <w:tc>
          <w:tcPr>
            <w:tcW w:w="2290" w:type="dxa"/>
          </w:tcPr>
          <w:p w14:paraId="64F1531C" w14:textId="77777777" w:rsidR="00AB59BD" w:rsidRPr="00AB59BD" w:rsidRDefault="00AB59BD" w:rsidP="00F87C4A">
            <w:pPr>
              <w:rPr>
                <w:b/>
                <w:sz w:val="20"/>
                <w:szCs w:val="20"/>
              </w:rPr>
            </w:pPr>
            <w:r w:rsidRPr="00AB59BD">
              <w:rPr>
                <w:b/>
                <w:sz w:val="20"/>
                <w:szCs w:val="20"/>
              </w:rPr>
              <w:t>N/A</w:t>
            </w:r>
          </w:p>
        </w:tc>
        <w:tc>
          <w:tcPr>
            <w:tcW w:w="12336" w:type="dxa"/>
          </w:tcPr>
          <w:p w14:paraId="190E3B08" w14:textId="77777777" w:rsidR="00AB59BD" w:rsidRPr="00AB59BD" w:rsidRDefault="00AB59BD" w:rsidP="00F87C4A">
            <w:pPr>
              <w:rPr>
                <w:sz w:val="20"/>
                <w:szCs w:val="20"/>
              </w:rPr>
            </w:pPr>
            <w:r w:rsidRPr="00AB59BD">
              <w:rPr>
                <w:sz w:val="20"/>
                <w:szCs w:val="20"/>
              </w:rPr>
              <w:t>Nav attiecināms</w:t>
            </w:r>
          </w:p>
        </w:tc>
      </w:tr>
    </w:tbl>
    <w:p w14:paraId="334F1388" w14:textId="77777777" w:rsidR="00AB59BD" w:rsidRPr="00B3390A" w:rsidRDefault="00AB59BD" w:rsidP="00AB59BD"/>
    <w:tbl>
      <w:tblPr>
        <w:tblStyle w:val="TableGrid"/>
        <w:tblW w:w="5000" w:type="pct"/>
        <w:tblCellMar>
          <w:left w:w="28" w:type="dxa"/>
          <w:right w:w="28" w:type="dxa"/>
        </w:tblCellMar>
        <w:tblLook w:val="04A0" w:firstRow="1" w:lastRow="0" w:firstColumn="1" w:lastColumn="0" w:noHBand="0" w:noVBand="1"/>
      </w:tblPr>
      <w:tblGrid>
        <w:gridCol w:w="822"/>
        <w:gridCol w:w="6719"/>
        <w:gridCol w:w="7085"/>
      </w:tblGrid>
      <w:tr w:rsidR="00AB59BD" w:rsidRPr="00AB59BD" w14:paraId="7DE983CE" w14:textId="77777777" w:rsidTr="009A3EEA">
        <w:trPr>
          <w:cantSplit/>
          <w:tblHeader/>
        </w:trPr>
        <w:tc>
          <w:tcPr>
            <w:tcW w:w="822" w:type="dxa"/>
            <w:shd w:val="clear" w:color="auto" w:fill="C2D69B" w:themeFill="accent3" w:themeFillTint="99"/>
            <w:vAlign w:val="center"/>
          </w:tcPr>
          <w:p w14:paraId="7BAD185A" w14:textId="77777777" w:rsidR="00AB59BD" w:rsidRPr="00AB59BD" w:rsidRDefault="00AB59BD" w:rsidP="00AB59BD">
            <w:pPr>
              <w:jc w:val="center"/>
              <w:rPr>
                <w:rFonts w:ascii="Times New Roman" w:hAnsi="Times New Roman"/>
                <w:b/>
                <w:sz w:val="22"/>
              </w:rPr>
            </w:pPr>
            <w:r w:rsidRPr="00AB59BD">
              <w:rPr>
                <w:rFonts w:ascii="Times New Roman" w:hAnsi="Times New Roman"/>
                <w:b/>
                <w:sz w:val="22"/>
              </w:rPr>
              <w:t>Nr.p.k.</w:t>
            </w:r>
          </w:p>
        </w:tc>
        <w:tc>
          <w:tcPr>
            <w:tcW w:w="6719" w:type="dxa"/>
            <w:shd w:val="clear" w:color="auto" w:fill="C2D69B" w:themeFill="accent3" w:themeFillTint="99"/>
            <w:vAlign w:val="center"/>
          </w:tcPr>
          <w:p w14:paraId="3A8C2DA1" w14:textId="77777777" w:rsidR="00AB59BD" w:rsidRPr="00AB59BD" w:rsidRDefault="00AB59BD" w:rsidP="00F87C4A">
            <w:pPr>
              <w:rPr>
                <w:rFonts w:ascii="Times New Roman" w:hAnsi="Times New Roman"/>
                <w:b/>
                <w:sz w:val="22"/>
              </w:rPr>
            </w:pPr>
            <w:r w:rsidRPr="00AB59BD">
              <w:rPr>
                <w:rFonts w:ascii="Times New Roman" w:hAnsi="Times New Roman"/>
                <w:b/>
                <w:sz w:val="22"/>
              </w:rPr>
              <w:t>Jautājums</w:t>
            </w:r>
          </w:p>
        </w:tc>
        <w:tc>
          <w:tcPr>
            <w:tcW w:w="7085" w:type="dxa"/>
            <w:shd w:val="clear" w:color="auto" w:fill="C2D69B" w:themeFill="accent3" w:themeFillTint="99"/>
            <w:vAlign w:val="center"/>
          </w:tcPr>
          <w:p w14:paraId="2EBF59EC" w14:textId="77777777" w:rsidR="00AB59BD" w:rsidRPr="00AB59BD" w:rsidRDefault="00AB59BD" w:rsidP="00F87C4A">
            <w:pPr>
              <w:rPr>
                <w:rFonts w:ascii="Times New Roman" w:hAnsi="Times New Roman"/>
                <w:b/>
                <w:sz w:val="22"/>
              </w:rPr>
            </w:pPr>
            <w:r w:rsidRPr="00AB59BD">
              <w:rPr>
                <w:rFonts w:ascii="Times New Roman" w:hAnsi="Times New Roman"/>
                <w:b/>
                <w:sz w:val="22"/>
              </w:rPr>
              <w:t>Atbilde</w:t>
            </w:r>
          </w:p>
        </w:tc>
      </w:tr>
      <w:tr w:rsidR="00AB59BD" w:rsidRPr="00AB59BD" w14:paraId="5914A9C3" w14:textId="77777777" w:rsidTr="009A3EEA">
        <w:trPr>
          <w:cantSplit/>
        </w:trPr>
        <w:tc>
          <w:tcPr>
            <w:tcW w:w="822" w:type="dxa"/>
          </w:tcPr>
          <w:p w14:paraId="02726436" w14:textId="77777777" w:rsidR="00AB59BD" w:rsidRPr="00AB59BD" w:rsidRDefault="00AB59BD" w:rsidP="00AB59BD">
            <w:pPr>
              <w:jc w:val="center"/>
              <w:rPr>
                <w:rFonts w:ascii="Times New Roman" w:hAnsi="Times New Roman"/>
                <w:sz w:val="22"/>
              </w:rPr>
            </w:pPr>
            <w:r w:rsidRPr="00AB59BD">
              <w:rPr>
                <w:rFonts w:ascii="Times New Roman" w:hAnsi="Times New Roman"/>
                <w:sz w:val="22"/>
              </w:rPr>
              <w:t>1.</w:t>
            </w:r>
          </w:p>
        </w:tc>
        <w:tc>
          <w:tcPr>
            <w:tcW w:w="6719" w:type="dxa"/>
          </w:tcPr>
          <w:p w14:paraId="797B0E28" w14:textId="77777777" w:rsidR="00AB59BD" w:rsidRPr="00AB59BD" w:rsidRDefault="00AB59BD" w:rsidP="00AB59BD">
            <w:pPr>
              <w:jc w:val="both"/>
              <w:rPr>
                <w:rFonts w:ascii="Times New Roman" w:hAnsi="Times New Roman"/>
                <w:sz w:val="22"/>
              </w:rPr>
            </w:pPr>
            <w:r w:rsidRPr="00AB59BD">
              <w:rPr>
                <w:rFonts w:ascii="Times New Roman" w:hAnsi="Times New Roman"/>
                <w:sz w:val="22"/>
              </w:rPr>
              <w:t>Konkursa nolikuma 41.2.2.punkts paredz pievienot projekta iesnieguma veidlapai būvniecības ieceres dokumentāciju, ja tie nav iesniegti būvvaldē. Vienlaicīgi vērtēšanas kritērijs Nr.1.23 ("Iesniegti noteikumu 41. punktā minētie iesniedzamie dokumenti, un tie atbilst šo noteikumu prasībām") ir precizējams.</w:t>
            </w:r>
          </w:p>
          <w:p w14:paraId="00DB0AA0" w14:textId="77777777" w:rsidR="00AB59BD" w:rsidRPr="00AB59BD" w:rsidRDefault="00AB59BD" w:rsidP="00AB59BD">
            <w:pPr>
              <w:jc w:val="both"/>
              <w:rPr>
                <w:rFonts w:ascii="Times New Roman" w:hAnsi="Times New Roman"/>
                <w:sz w:val="22"/>
              </w:rPr>
            </w:pPr>
            <w:r w:rsidRPr="00AB59BD">
              <w:rPr>
                <w:rFonts w:ascii="Times New Roman" w:hAnsi="Times New Roman"/>
                <w:sz w:val="22"/>
              </w:rPr>
              <w:t xml:space="preserve"> </w:t>
            </w:r>
          </w:p>
          <w:p w14:paraId="6E334A81" w14:textId="77777777" w:rsidR="00AB59BD" w:rsidRPr="00AB59BD" w:rsidRDefault="00AB59BD" w:rsidP="00AB59BD">
            <w:pPr>
              <w:jc w:val="both"/>
              <w:rPr>
                <w:rFonts w:ascii="Times New Roman" w:hAnsi="Times New Roman"/>
                <w:sz w:val="22"/>
              </w:rPr>
            </w:pPr>
            <w:r w:rsidRPr="00AB59BD">
              <w:rPr>
                <w:rFonts w:ascii="Times New Roman" w:hAnsi="Times New Roman"/>
                <w:sz w:val="22"/>
              </w:rPr>
              <w:t>Vai gadījumā, ja uz projekta iesnieguma iesniegšanas brīdi būvniecības ieceres dokumentācija nav pievienota, vai tā var tikt iesniegta kā precizējamais dokuments?</w:t>
            </w:r>
          </w:p>
        </w:tc>
        <w:tc>
          <w:tcPr>
            <w:tcW w:w="7085" w:type="dxa"/>
          </w:tcPr>
          <w:p w14:paraId="40BE216A" w14:textId="77777777" w:rsidR="00AB59BD" w:rsidRPr="00AB59BD" w:rsidRDefault="00AB59BD" w:rsidP="00D91EE4">
            <w:pPr>
              <w:jc w:val="both"/>
              <w:rPr>
                <w:rFonts w:ascii="Times New Roman" w:hAnsi="Times New Roman"/>
                <w:sz w:val="22"/>
              </w:rPr>
            </w:pPr>
            <w:r w:rsidRPr="00AB59BD">
              <w:rPr>
                <w:rFonts w:ascii="Times New Roman" w:hAnsi="Times New Roman"/>
                <w:sz w:val="22"/>
              </w:rPr>
              <w:t>Ja uz projekta iesnieguma iesniegšanas brīdi būvniecības ieceres dokumentācija nav pievienota</w:t>
            </w:r>
            <w:r w:rsidR="00D91EE4">
              <w:rPr>
                <w:rFonts w:ascii="Times New Roman" w:hAnsi="Times New Roman"/>
                <w:sz w:val="22"/>
              </w:rPr>
              <w:t>,</w:t>
            </w:r>
            <w:r>
              <w:rPr>
                <w:rFonts w:ascii="Times New Roman" w:hAnsi="Times New Roman"/>
                <w:sz w:val="22"/>
              </w:rPr>
              <w:t xml:space="preserve"> to </w:t>
            </w:r>
            <w:r w:rsidR="00D91EE4">
              <w:rPr>
                <w:rFonts w:ascii="Times New Roman" w:hAnsi="Times New Roman"/>
                <w:sz w:val="22"/>
              </w:rPr>
              <w:t>pēc vērtēšanas komisijas pieprasījuma būs</w:t>
            </w:r>
            <w:r>
              <w:rPr>
                <w:rFonts w:ascii="Times New Roman" w:hAnsi="Times New Roman"/>
                <w:sz w:val="22"/>
              </w:rPr>
              <w:t xml:space="preserve"> </w:t>
            </w:r>
            <w:r w:rsidR="00D91EE4">
              <w:rPr>
                <w:rFonts w:ascii="Times New Roman" w:hAnsi="Times New Roman"/>
                <w:sz w:val="22"/>
              </w:rPr>
              <w:t>jāpievieno projekta iesniegumam tā precizējumu iesniegšanas laikā</w:t>
            </w:r>
            <w:r>
              <w:rPr>
                <w:rFonts w:ascii="Times New Roman" w:hAnsi="Times New Roman"/>
                <w:sz w:val="22"/>
              </w:rPr>
              <w:t xml:space="preserve">, </w:t>
            </w:r>
            <w:r w:rsidR="00D91EE4">
              <w:rPr>
                <w:rFonts w:ascii="Times New Roman" w:hAnsi="Times New Roman"/>
                <w:sz w:val="22"/>
              </w:rPr>
              <w:t>vienlaikus nodrošinot</w:t>
            </w:r>
            <w:r>
              <w:rPr>
                <w:rFonts w:ascii="Times New Roman" w:hAnsi="Times New Roman"/>
                <w:sz w:val="22"/>
              </w:rPr>
              <w:t xml:space="preserve">, ka </w:t>
            </w:r>
            <w:r w:rsidR="00D91EE4">
              <w:rPr>
                <w:rFonts w:ascii="Times New Roman" w:hAnsi="Times New Roman"/>
                <w:sz w:val="22"/>
              </w:rPr>
              <w:t>dokumentācijā iekļautā informācija</w:t>
            </w:r>
            <w:r>
              <w:rPr>
                <w:rFonts w:ascii="Times New Roman" w:hAnsi="Times New Roman"/>
                <w:sz w:val="22"/>
              </w:rPr>
              <w:t xml:space="preserve"> ir saskaņā ar projekta iesnieguma veidlapā</w:t>
            </w:r>
            <w:r w:rsidR="00D91EE4">
              <w:rPr>
                <w:rFonts w:ascii="Times New Roman" w:hAnsi="Times New Roman"/>
                <w:sz w:val="22"/>
              </w:rPr>
              <w:t xml:space="preserve"> un citos projekta iesniegumam pievienotajos dokumentos</w:t>
            </w:r>
            <w:r>
              <w:rPr>
                <w:rFonts w:ascii="Times New Roman" w:hAnsi="Times New Roman"/>
                <w:sz w:val="22"/>
              </w:rPr>
              <w:t xml:space="preserve"> norādīto informāc</w:t>
            </w:r>
            <w:r w:rsidR="00AB49B6">
              <w:rPr>
                <w:rFonts w:ascii="Times New Roman" w:hAnsi="Times New Roman"/>
                <w:sz w:val="22"/>
              </w:rPr>
              <w:t>iju un ietver visas</w:t>
            </w:r>
            <w:r w:rsidR="00D91EE4">
              <w:rPr>
                <w:rFonts w:ascii="Times New Roman" w:hAnsi="Times New Roman"/>
                <w:sz w:val="22"/>
              </w:rPr>
              <w:t xml:space="preserve"> projektā plānotās aktivitātes. J</w:t>
            </w:r>
            <w:r w:rsidR="00AB49B6">
              <w:rPr>
                <w:rFonts w:ascii="Times New Roman" w:hAnsi="Times New Roman"/>
                <w:sz w:val="22"/>
              </w:rPr>
              <w:t>āņem vērā, ka projekta iesnieguma precizējumu laiks ir ierobežots</w:t>
            </w:r>
            <w:r w:rsidR="00D91EE4">
              <w:rPr>
                <w:rFonts w:ascii="Times New Roman" w:hAnsi="Times New Roman"/>
                <w:sz w:val="22"/>
              </w:rPr>
              <w:t>,</w:t>
            </w:r>
            <w:r w:rsidR="00AB49B6">
              <w:rPr>
                <w:rFonts w:ascii="Times New Roman" w:hAnsi="Times New Roman"/>
                <w:sz w:val="22"/>
              </w:rPr>
              <w:t xml:space="preserve"> un</w:t>
            </w:r>
            <w:r w:rsidR="00D91EE4">
              <w:rPr>
                <w:rFonts w:ascii="Times New Roman" w:hAnsi="Times New Roman"/>
                <w:sz w:val="22"/>
              </w:rPr>
              <w:t>,</w:t>
            </w:r>
            <w:r w:rsidR="00AB49B6">
              <w:rPr>
                <w:rFonts w:ascii="Times New Roman" w:hAnsi="Times New Roman"/>
                <w:sz w:val="22"/>
              </w:rPr>
              <w:t xml:space="preserve"> neiesniedzot minētos dokumentus norādītajā termiņā, vai, ja iesniegtajos dokumentos norādītā informācija neatbildīs citās projekta iesnieguma sadaļās iekļautajiem datiem, projekta iesniegums var tikt noraidīts.</w:t>
            </w:r>
          </w:p>
        </w:tc>
      </w:tr>
      <w:tr w:rsidR="00AB59BD" w:rsidRPr="00AB59BD" w14:paraId="7DC3729B" w14:textId="77777777" w:rsidTr="009A3EEA">
        <w:trPr>
          <w:cantSplit/>
        </w:trPr>
        <w:tc>
          <w:tcPr>
            <w:tcW w:w="822" w:type="dxa"/>
          </w:tcPr>
          <w:p w14:paraId="08C177E8" w14:textId="77777777" w:rsidR="00AB59BD" w:rsidRPr="00AB59BD" w:rsidRDefault="0028039C" w:rsidP="00AB59BD">
            <w:pPr>
              <w:jc w:val="center"/>
              <w:rPr>
                <w:rFonts w:ascii="Times New Roman" w:hAnsi="Times New Roman"/>
                <w:sz w:val="22"/>
              </w:rPr>
            </w:pPr>
            <w:r>
              <w:rPr>
                <w:rFonts w:ascii="Times New Roman" w:hAnsi="Times New Roman"/>
                <w:sz w:val="22"/>
              </w:rPr>
              <w:t>2.</w:t>
            </w:r>
          </w:p>
        </w:tc>
        <w:tc>
          <w:tcPr>
            <w:tcW w:w="6719" w:type="dxa"/>
          </w:tcPr>
          <w:p w14:paraId="0121BF80" w14:textId="77777777" w:rsidR="00AB59BD" w:rsidRPr="00AB59BD" w:rsidRDefault="0028039C" w:rsidP="00B74801">
            <w:pPr>
              <w:jc w:val="both"/>
              <w:rPr>
                <w:rFonts w:ascii="Times New Roman" w:hAnsi="Times New Roman"/>
                <w:sz w:val="22"/>
              </w:rPr>
            </w:pPr>
            <w:r w:rsidRPr="0028039C">
              <w:rPr>
                <w:rFonts w:ascii="Times New Roman" w:hAnsi="Times New Roman"/>
                <w:sz w:val="22"/>
              </w:rPr>
              <w:t>Kur būtu pieejama projekta iesnieguma elektroniskā forma konkursam "Siltumnīcefekta gāzu emisiju samazināšana valsts nozīmes aizsargājamos arhitektūras pieminekļos"?</w:t>
            </w:r>
          </w:p>
        </w:tc>
        <w:tc>
          <w:tcPr>
            <w:tcW w:w="7085" w:type="dxa"/>
          </w:tcPr>
          <w:p w14:paraId="06BC382B" w14:textId="77777777" w:rsidR="00AB59BD" w:rsidRPr="0028039C" w:rsidRDefault="0028039C" w:rsidP="0028039C">
            <w:pPr>
              <w:rPr>
                <w:rFonts w:ascii="Times New Roman" w:hAnsi="Times New Roman"/>
                <w:sz w:val="22"/>
              </w:rPr>
            </w:pPr>
            <w:r w:rsidRPr="0028039C">
              <w:rPr>
                <w:rFonts w:ascii="Times New Roman" w:hAnsi="Times New Roman"/>
                <w:sz w:val="22"/>
              </w:rPr>
              <w:t xml:space="preserve">Projekta iesnieguma </w:t>
            </w:r>
            <w:r>
              <w:rPr>
                <w:rFonts w:ascii="Times New Roman" w:hAnsi="Times New Roman"/>
                <w:sz w:val="22"/>
              </w:rPr>
              <w:t xml:space="preserve">veidlapas </w:t>
            </w:r>
            <w:r w:rsidRPr="0028039C">
              <w:rPr>
                <w:rFonts w:ascii="Times New Roman" w:hAnsi="Times New Roman"/>
                <w:sz w:val="22"/>
              </w:rPr>
              <w:t xml:space="preserve">elektroniskā forma ir publicēta </w:t>
            </w:r>
            <w:r>
              <w:rPr>
                <w:rFonts w:ascii="Times New Roman" w:hAnsi="Times New Roman"/>
                <w:sz w:val="22"/>
              </w:rPr>
              <w:t xml:space="preserve">tīmekļa </w:t>
            </w:r>
            <w:r w:rsidRPr="0028039C">
              <w:rPr>
                <w:rFonts w:ascii="Times New Roman" w:hAnsi="Times New Roman"/>
                <w:sz w:val="22"/>
              </w:rPr>
              <w:t>adresē</w:t>
            </w:r>
            <w:r>
              <w:rPr>
                <w:rFonts w:ascii="Times New Roman" w:hAnsi="Times New Roman"/>
                <w:sz w:val="22"/>
              </w:rPr>
              <w:t xml:space="preserve">: </w:t>
            </w:r>
            <w:hyperlink r:id="rId10" w:history="1">
              <w:r w:rsidRPr="0028039C">
                <w:rPr>
                  <w:rStyle w:val="Hyperlink"/>
                  <w:rFonts w:ascii="Times New Roman" w:hAnsi="Times New Roman"/>
                  <w:sz w:val="22"/>
                </w:rPr>
                <w:t>http://www.likumi.lv/wwwraksti/2016/020/35/P2.DOCX</w:t>
              </w:r>
            </w:hyperlink>
            <w:r>
              <w:rPr>
                <w:rFonts w:ascii="Times New Roman" w:hAnsi="Times New Roman"/>
                <w:sz w:val="22"/>
              </w:rPr>
              <w:t xml:space="preserve"> </w:t>
            </w:r>
          </w:p>
        </w:tc>
      </w:tr>
      <w:tr w:rsidR="00B74801" w:rsidRPr="00B74801" w14:paraId="5E5DD57D" w14:textId="77777777" w:rsidTr="009A3EEA">
        <w:trPr>
          <w:cantSplit/>
        </w:trPr>
        <w:tc>
          <w:tcPr>
            <w:tcW w:w="822" w:type="dxa"/>
          </w:tcPr>
          <w:p w14:paraId="4E10975C" w14:textId="77777777" w:rsidR="00B74801" w:rsidRPr="00B74801" w:rsidRDefault="00B74801" w:rsidP="00AB59BD">
            <w:pPr>
              <w:jc w:val="center"/>
              <w:rPr>
                <w:rFonts w:ascii="Times New Roman" w:hAnsi="Times New Roman"/>
                <w:sz w:val="22"/>
              </w:rPr>
            </w:pPr>
            <w:r w:rsidRPr="00B74801">
              <w:rPr>
                <w:rFonts w:ascii="Times New Roman" w:hAnsi="Times New Roman"/>
                <w:sz w:val="22"/>
              </w:rPr>
              <w:t>3.</w:t>
            </w:r>
          </w:p>
        </w:tc>
        <w:tc>
          <w:tcPr>
            <w:tcW w:w="6719" w:type="dxa"/>
          </w:tcPr>
          <w:p w14:paraId="6D8B8DFE" w14:textId="77777777" w:rsidR="00B74801" w:rsidRPr="00B74801" w:rsidRDefault="00B74801" w:rsidP="00B74801">
            <w:pPr>
              <w:jc w:val="both"/>
              <w:rPr>
                <w:rFonts w:ascii="Times New Roman" w:hAnsi="Times New Roman"/>
                <w:sz w:val="22"/>
              </w:rPr>
            </w:pPr>
            <w:r w:rsidRPr="00B74801">
              <w:rPr>
                <w:rFonts w:ascii="Times New Roman" w:hAnsi="Times New Roman"/>
                <w:sz w:val="22"/>
              </w:rPr>
              <w:t>Ja ēkas ārsienas tiek siltinātas no telpu iekšpuses (daļēji jādemontē arī grīdas segums, lai siltinot novērstu aukstuma tiltus pie starpstāvu pārseguma), cik lielā mērā ir attiecināmas telpu kosmētiskā remonta izmaksas - tikai siltinātās daļas apdare, vai visas telpas griestu, grīdas un sienu apdares atjaunošana?</w:t>
            </w:r>
          </w:p>
        </w:tc>
        <w:tc>
          <w:tcPr>
            <w:tcW w:w="7085" w:type="dxa"/>
          </w:tcPr>
          <w:p w14:paraId="1DD346DB" w14:textId="77777777" w:rsidR="00B74801" w:rsidRDefault="00B74801" w:rsidP="00B74801">
            <w:pPr>
              <w:jc w:val="both"/>
              <w:rPr>
                <w:rFonts w:ascii="Times New Roman" w:hAnsi="Times New Roman"/>
                <w:sz w:val="22"/>
              </w:rPr>
            </w:pPr>
            <w:r>
              <w:rPr>
                <w:rFonts w:ascii="Times New Roman" w:hAnsi="Times New Roman"/>
                <w:sz w:val="22"/>
              </w:rPr>
              <w:t>Saskaņā ar MK noteikumu</w:t>
            </w:r>
            <w:r w:rsidRPr="00B74801">
              <w:rPr>
                <w:rFonts w:ascii="Times New Roman" w:hAnsi="Times New Roman"/>
                <w:sz w:val="22"/>
              </w:rPr>
              <w:t xml:space="preserve"> Nr.35</w:t>
            </w:r>
            <w:r>
              <w:rPr>
                <w:rFonts w:ascii="Times New Roman" w:hAnsi="Times New Roman"/>
                <w:sz w:val="22"/>
              </w:rPr>
              <w:t xml:space="preserve"> 31.1. punktu attiecināmās ir tikai </w:t>
            </w:r>
            <w:r w:rsidRPr="00B74801">
              <w:rPr>
                <w:rFonts w:ascii="Times New Roman" w:hAnsi="Times New Roman"/>
                <w:sz w:val="22"/>
              </w:rPr>
              <w:t>ēku energoefektivitāti paaugstinošu būvdarbu izmaksas</w:t>
            </w:r>
            <w:r w:rsidR="003B54F6">
              <w:rPr>
                <w:rFonts w:ascii="Times New Roman" w:hAnsi="Times New Roman"/>
                <w:sz w:val="22"/>
              </w:rPr>
              <w:t>, un</w:t>
            </w:r>
            <w:r>
              <w:rPr>
                <w:rFonts w:ascii="Times New Roman" w:hAnsi="Times New Roman"/>
                <w:sz w:val="22"/>
              </w:rPr>
              <w:t xml:space="preserve"> </w:t>
            </w:r>
            <w:r w:rsidRPr="00B74801">
              <w:rPr>
                <w:rFonts w:ascii="Times New Roman" w:hAnsi="Times New Roman"/>
                <w:b/>
                <w:sz w:val="22"/>
              </w:rPr>
              <w:t>kosmētiskā remonta izmaksas ir neattiecināmas</w:t>
            </w:r>
            <w:r>
              <w:rPr>
                <w:rFonts w:ascii="Times New Roman" w:hAnsi="Times New Roman"/>
                <w:sz w:val="22"/>
              </w:rPr>
              <w:t xml:space="preserve">. </w:t>
            </w:r>
          </w:p>
          <w:p w14:paraId="4D520385" w14:textId="77777777" w:rsidR="00B74801" w:rsidRPr="00B74801" w:rsidRDefault="00B74801" w:rsidP="003B54F6">
            <w:pPr>
              <w:jc w:val="both"/>
              <w:rPr>
                <w:rFonts w:ascii="Times New Roman" w:hAnsi="Times New Roman"/>
                <w:sz w:val="22"/>
              </w:rPr>
            </w:pPr>
            <w:r>
              <w:rPr>
                <w:rFonts w:ascii="Times New Roman" w:hAnsi="Times New Roman"/>
                <w:sz w:val="22"/>
              </w:rPr>
              <w:t>Ja iekštelpās, kurās veic</w:t>
            </w:r>
            <w:r>
              <w:t xml:space="preserve"> </w:t>
            </w:r>
            <w:r w:rsidRPr="00B74801">
              <w:rPr>
                <w:rFonts w:ascii="Times New Roman" w:hAnsi="Times New Roman"/>
                <w:sz w:val="22"/>
              </w:rPr>
              <w:t>energoefektivitāti paaugstinošu</w:t>
            </w:r>
            <w:r w:rsidR="003B54F6">
              <w:rPr>
                <w:rFonts w:ascii="Times New Roman" w:hAnsi="Times New Roman"/>
                <w:sz w:val="22"/>
              </w:rPr>
              <w:t>s</w:t>
            </w:r>
            <w:r w:rsidRPr="00B74801">
              <w:rPr>
                <w:rFonts w:ascii="Times New Roman" w:hAnsi="Times New Roman"/>
                <w:sz w:val="22"/>
              </w:rPr>
              <w:t xml:space="preserve"> būvdarbu</w:t>
            </w:r>
            <w:r w:rsidR="003B54F6">
              <w:rPr>
                <w:rFonts w:ascii="Times New Roman" w:hAnsi="Times New Roman"/>
                <w:sz w:val="22"/>
              </w:rPr>
              <w:t>s,</w:t>
            </w:r>
            <w:r>
              <w:rPr>
                <w:rFonts w:ascii="Times New Roman" w:hAnsi="Times New Roman"/>
                <w:sz w:val="22"/>
              </w:rPr>
              <w:t xml:space="preserve"> ir arhitektoniskās detaļas, tad saskaņā ar MK noteikumu</w:t>
            </w:r>
            <w:r w:rsidRPr="00B74801">
              <w:rPr>
                <w:rFonts w:ascii="Times New Roman" w:hAnsi="Times New Roman"/>
                <w:sz w:val="22"/>
              </w:rPr>
              <w:t xml:space="preserve"> Nr.35</w:t>
            </w:r>
            <w:r>
              <w:rPr>
                <w:rFonts w:ascii="Times New Roman" w:hAnsi="Times New Roman"/>
                <w:sz w:val="22"/>
              </w:rPr>
              <w:t xml:space="preserve"> 31.2. punktu var paredzēt </w:t>
            </w:r>
            <w:r w:rsidRPr="00B74801">
              <w:rPr>
                <w:rFonts w:ascii="Times New Roman" w:hAnsi="Times New Roman"/>
                <w:sz w:val="22"/>
              </w:rPr>
              <w:t>restaurācijas darbu izmaksas, lai nodrošinātu ēkas sākotnējo arhitektonisko detaļu vizuālo un tehnisko stāvokli</w:t>
            </w:r>
            <w:r>
              <w:rPr>
                <w:rFonts w:ascii="Times New Roman" w:hAnsi="Times New Roman"/>
                <w:sz w:val="22"/>
              </w:rPr>
              <w:t xml:space="preserve">, </w:t>
            </w:r>
            <w:r w:rsidRPr="00B74801">
              <w:rPr>
                <w:rFonts w:ascii="Times New Roman" w:hAnsi="Times New Roman"/>
                <w:sz w:val="22"/>
              </w:rPr>
              <w:t>nepārsniedz</w:t>
            </w:r>
            <w:r>
              <w:rPr>
                <w:rFonts w:ascii="Times New Roman" w:hAnsi="Times New Roman"/>
                <w:sz w:val="22"/>
              </w:rPr>
              <w:t>ot</w:t>
            </w:r>
            <w:r w:rsidRPr="00B74801">
              <w:rPr>
                <w:rFonts w:ascii="Times New Roman" w:hAnsi="Times New Roman"/>
                <w:sz w:val="22"/>
              </w:rPr>
              <w:t xml:space="preserve"> 15 % no projekta kopējām attiecināmajām izmaksām</w:t>
            </w:r>
            <w:r>
              <w:rPr>
                <w:rFonts w:ascii="Times New Roman" w:hAnsi="Times New Roman"/>
                <w:sz w:val="22"/>
              </w:rPr>
              <w:t>.</w:t>
            </w:r>
          </w:p>
        </w:tc>
      </w:tr>
      <w:tr w:rsidR="006A350A" w:rsidRPr="006A350A" w14:paraId="03D015FB" w14:textId="77777777" w:rsidTr="009A3EEA">
        <w:trPr>
          <w:cantSplit/>
        </w:trPr>
        <w:tc>
          <w:tcPr>
            <w:tcW w:w="822" w:type="dxa"/>
          </w:tcPr>
          <w:p w14:paraId="50D403E3" w14:textId="77777777" w:rsidR="006A350A" w:rsidRPr="006A350A" w:rsidRDefault="006A350A" w:rsidP="00AB59BD">
            <w:pPr>
              <w:jc w:val="center"/>
              <w:rPr>
                <w:rFonts w:ascii="Times New Roman" w:hAnsi="Times New Roman"/>
                <w:sz w:val="22"/>
              </w:rPr>
            </w:pPr>
            <w:r w:rsidRPr="006A350A">
              <w:rPr>
                <w:rFonts w:ascii="Times New Roman" w:hAnsi="Times New Roman"/>
                <w:sz w:val="22"/>
              </w:rPr>
              <w:lastRenderedPageBreak/>
              <w:t>4.</w:t>
            </w:r>
          </w:p>
        </w:tc>
        <w:tc>
          <w:tcPr>
            <w:tcW w:w="6719" w:type="dxa"/>
          </w:tcPr>
          <w:p w14:paraId="70A5EF62" w14:textId="77777777" w:rsidR="006A350A" w:rsidRPr="006A350A" w:rsidRDefault="006A350A" w:rsidP="006A350A">
            <w:pPr>
              <w:jc w:val="both"/>
              <w:rPr>
                <w:rFonts w:ascii="Times New Roman" w:hAnsi="Times New Roman"/>
                <w:sz w:val="22"/>
              </w:rPr>
            </w:pPr>
            <w:r w:rsidRPr="006A350A">
              <w:rPr>
                <w:rFonts w:ascii="Times New Roman" w:hAnsi="Times New Roman"/>
                <w:sz w:val="22"/>
              </w:rPr>
              <w:t>MK noteikumos noteikts, ka papildus iesniedz “41.2.2. būvniecības ieceres dokumentus (grafisko daļu un aprēķinus, ja ir apliecinājuma karte vai paskaidrojuma raksts, vai būvprojektu minimālā sastāvā, ja ir būvatļauja, ēkas tehniskās apsekošanas atzinumu, arhitektoniski māksliniecisko izpēti un atzinumu), ja tie nav iesniegti būvvaldē”</w:t>
            </w:r>
          </w:p>
          <w:p w14:paraId="28DD6D3A" w14:textId="77777777" w:rsidR="006A350A" w:rsidRPr="006A350A" w:rsidRDefault="006A350A" w:rsidP="006A350A">
            <w:pPr>
              <w:jc w:val="both"/>
              <w:rPr>
                <w:rFonts w:ascii="Times New Roman" w:hAnsi="Times New Roman"/>
                <w:sz w:val="22"/>
              </w:rPr>
            </w:pPr>
            <w:r w:rsidRPr="006A350A">
              <w:rPr>
                <w:rFonts w:ascii="Times New Roman" w:hAnsi="Times New Roman"/>
                <w:sz w:val="22"/>
              </w:rPr>
              <w:t>Jautājums. Ir izstrādāts un būvvaldē akceptēts ēkas rekonstrukcijas tehniskais projekts, bet nav saņemta būvatļauja. Kādus no 41.2.2.punktā noteiktajiem dokumentiem jāietver projekta iesniegumā?</w:t>
            </w:r>
          </w:p>
        </w:tc>
        <w:tc>
          <w:tcPr>
            <w:tcW w:w="7085" w:type="dxa"/>
          </w:tcPr>
          <w:p w14:paraId="51B40FD4" w14:textId="0158BCF1" w:rsidR="006A350A" w:rsidRPr="006A350A" w:rsidRDefault="00F50428" w:rsidP="00F50428">
            <w:pPr>
              <w:jc w:val="both"/>
              <w:rPr>
                <w:rFonts w:ascii="Times New Roman" w:hAnsi="Times New Roman"/>
                <w:sz w:val="22"/>
              </w:rPr>
            </w:pPr>
            <w:r>
              <w:rPr>
                <w:rFonts w:ascii="Times New Roman" w:hAnsi="Times New Roman"/>
                <w:sz w:val="22"/>
              </w:rPr>
              <w:t>No jautājuma nav secināms vai izstrādātais tehniskais projekts ir spēkā esošs un atbilst esošā būvniecības nozares normatīvā regulējuma prasībām un vai informācija par izstrādāto projektu ir pieejama būvvaldes tīmekļa vietnē. Ja izstrādātais dokuments ir spēkā esošs, bet nav saņemta būvatļauja un informācija par minēto projektu nav pieejama būvvaldes tīmekļa vietnē, tad s</w:t>
            </w:r>
            <w:r w:rsidR="006A350A" w:rsidRPr="006A350A">
              <w:rPr>
                <w:rFonts w:ascii="Times New Roman" w:hAnsi="Times New Roman"/>
                <w:sz w:val="22"/>
              </w:rPr>
              <w:t xml:space="preserve">askaņā ar MK noteikumu Nr.35 </w:t>
            </w:r>
            <w:r w:rsidR="006A350A">
              <w:rPr>
                <w:rFonts w:ascii="Times New Roman" w:hAnsi="Times New Roman"/>
                <w:sz w:val="22"/>
              </w:rPr>
              <w:t>41</w:t>
            </w:r>
            <w:r w:rsidR="006A350A" w:rsidRPr="006A350A">
              <w:rPr>
                <w:rFonts w:ascii="Times New Roman" w:hAnsi="Times New Roman"/>
                <w:sz w:val="22"/>
              </w:rPr>
              <w:t>.</w:t>
            </w:r>
            <w:r w:rsidR="006A350A">
              <w:rPr>
                <w:rFonts w:ascii="Times New Roman" w:hAnsi="Times New Roman"/>
                <w:sz w:val="22"/>
              </w:rPr>
              <w:t>2</w:t>
            </w:r>
            <w:r w:rsidR="006A350A" w:rsidRPr="006A350A">
              <w:rPr>
                <w:rFonts w:ascii="Times New Roman" w:hAnsi="Times New Roman"/>
                <w:sz w:val="22"/>
              </w:rPr>
              <w:t>.</w:t>
            </w:r>
            <w:r w:rsidR="006A350A">
              <w:rPr>
                <w:rFonts w:ascii="Times New Roman" w:hAnsi="Times New Roman"/>
                <w:sz w:val="22"/>
              </w:rPr>
              <w:t>2.</w:t>
            </w:r>
            <w:r w:rsidR="006A350A" w:rsidRPr="006A350A">
              <w:rPr>
                <w:rFonts w:ascii="Times New Roman" w:hAnsi="Times New Roman"/>
                <w:sz w:val="22"/>
              </w:rPr>
              <w:t xml:space="preserve"> </w:t>
            </w:r>
            <w:r w:rsidR="006A350A">
              <w:rPr>
                <w:rFonts w:ascii="Times New Roman" w:hAnsi="Times New Roman"/>
                <w:sz w:val="22"/>
              </w:rPr>
              <w:t>apakš</w:t>
            </w:r>
            <w:r w:rsidR="006A350A" w:rsidRPr="006A350A">
              <w:rPr>
                <w:rFonts w:ascii="Times New Roman" w:hAnsi="Times New Roman"/>
                <w:sz w:val="22"/>
              </w:rPr>
              <w:t>punkt</w:t>
            </w:r>
            <w:r>
              <w:rPr>
                <w:rFonts w:ascii="Times New Roman" w:hAnsi="Times New Roman"/>
                <w:sz w:val="22"/>
              </w:rPr>
              <w:t xml:space="preserve">a būtību izstrādātais ēkas </w:t>
            </w:r>
            <w:r w:rsidR="00095752" w:rsidRPr="00095752">
              <w:rPr>
                <w:rFonts w:ascii="Times New Roman" w:hAnsi="Times New Roman"/>
                <w:sz w:val="22"/>
              </w:rPr>
              <w:t>rekonstrukcijas tehniskais projekts</w:t>
            </w:r>
            <w:r>
              <w:rPr>
                <w:rFonts w:ascii="Times New Roman" w:hAnsi="Times New Roman"/>
                <w:sz w:val="22"/>
              </w:rPr>
              <w:t xml:space="preserve"> būtu iesniedzams kā papildus dokuments pie projekta iesnieguma veidlapas. Aicinām pirms projekta iesnieguma iesniegšanas pārliecināties, ka izstrādātā būvniecības dokumentācija ir spēkā esoša un atbilst būvniecības jomu regulējošajiem normatīvajiem aktiem.</w:t>
            </w:r>
            <w:r w:rsidR="006A350A">
              <w:rPr>
                <w:rFonts w:ascii="Times New Roman" w:hAnsi="Times New Roman"/>
                <w:sz w:val="22"/>
              </w:rPr>
              <w:t xml:space="preserve"> </w:t>
            </w:r>
          </w:p>
        </w:tc>
      </w:tr>
      <w:tr w:rsidR="006A350A" w:rsidRPr="006A350A" w14:paraId="590F2609" w14:textId="77777777" w:rsidTr="009A3EEA">
        <w:trPr>
          <w:cantSplit/>
        </w:trPr>
        <w:tc>
          <w:tcPr>
            <w:tcW w:w="822" w:type="dxa"/>
          </w:tcPr>
          <w:p w14:paraId="60E7E91E" w14:textId="77777777" w:rsidR="006A350A" w:rsidRPr="006A350A" w:rsidRDefault="006A350A" w:rsidP="00AB59BD">
            <w:pPr>
              <w:jc w:val="center"/>
              <w:rPr>
                <w:rFonts w:ascii="Times New Roman" w:hAnsi="Times New Roman"/>
                <w:sz w:val="22"/>
              </w:rPr>
            </w:pPr>
            <w:r w:rsidRPr="006A350A">
              <w:rPr>
                <w:rFonts w:ascii="Times New Roman" w:hAnsi="Times New Roman"/>
                <w:sz w:val="22"/>
              </w:rPr>
              <w:t>5.</w:t>
            </w:r>
          </w:p>
        </w:tc>
        <w:tc>
          <w:tcPr>
            <w:tcW w:w="6719" w:type="dxa"/>
          </w:tcPr>
          <w:p w14:paraId="3BE700CF" w14:textId="77777777" w:rsidR="006A350A" w:rsidRPr="006A350A" w:rsidRDefault="006A350A" w:rsidP="006A350A">
            <w:pPr>
              <w:jc w:val="both"/>
              <w:rPr>
                <w:rFonts w:ascii="Times New Roman" w:hAnsi="Times New Roman"/>
                <w:sz w:val="22"/>
              </w:rPr>
            </w:pPr>
            <w:r w:rsidRPr="006A350A">
              <w:rPr>
                <w:rFonts w:ascii="Times New Roman" w:hAnsi="Times New Roman"/>
                <w:sz w:val="22"/>
              </w:rPr>
              <w:t>MK noteikumos noteikts, ka papildus iesniedz “41.2.3. būvatļaujas vai apliecinājuma kartes, vai paskaidrojuma raksta kopiju:</w:t>
            </w:r>
          </w:p>
          <w:p w14:paraId="2816E808" w14:textId="77777777" w:rsidR="006A350A" w:rsidRPr="006A350A" w:rsidRDefault="006A350A" w:rsidP="006A350A">
            <w:pPr>
              <w:jc w:val="both"/>
              <w:rPr>
                <w:rFonts w:ascii="Times New Roman" w:hAnsi="Times New Roman"/>
                <w:sz w:val="22"/>
              </w:rPr>
            </w:pPr>
            <w:r w:rsidRPr="006A350A">
              <w:rPr>
                <w:rFonts w:ascii="Times New Roman" w:hAnsi="Times New Roman"/>
                <w:sz w:val="22"/>
              </w:rPr>
              <w:t>41.2.3.1. ja uz projekta iesnieguma iesniegšanas dienu Vides investīciju fondā nav izsludināti attiecīgi iepirkumi par būvdarbu veikšanu, nepieciešams iesniegt neatkarīga eksperta ēku energoefektivitātes jomā izstrādātu ēkas energosertifikātu (tajā skaitā pārskatu par ēkas energosertifikāta aprēķinos izmantotajām ievaddatu vērtībām saskaņā ar šo noteikumu 1. pielikumu);</w:t>
            </w:r>
          </w:p>
          <w:p w14:paraId="11D044CA" w14:textId="77777777" w:rsidR="006A350A" w:rsidRPr="006A350A" w:rsidRDefault="006A350A" w:rsidP="006A350A">
            <w:pPr>
              <w:jc w:val="both"/>
              <w:rPr>
                <w:rFonts w:ascii="Times New Roman" w:hAnsi="Times New Roman"/>
                <w:sz w:val="22"/>
              </w:rPr>
            </w:pPr>
            <w:r w:rsidRPr="006A350A">
              <w:rPr>
                <w:rFonts w:ascii="Times New Roman" w:hAnsi="Times New Roman"/>
                <w:sz w:val="22"/>
              </w:rPr>
              <w:t>41.2.3.2. ja uz projekta iesnieguma iesniegšanas dienu Vides investīciju fondā ir izsludināti attiecīgi iepirkumi par būvdarbu veikšanu, pārskats par ēkas energosertifikāta aprēķinos izmantotajām ievaddatu vērtībām nav nepieciešams, bet pārskatā norādītajai informācijai un aprēķinu metodikai jābūt iekļautai būvprojektā, apliecinājuma kartes vai paskaidrojuma raksta dokumentos”</w:t>
            </w:r>
          </w:p>
          <w:p w14:paraId="7DEBB09A" w14:textId="77777777" w:rsidR="006A350A" w:rsidRPr="006A350A" w:rsidRDefault="006A350A" w:rsidP="006A350A">
            <w:pPr>
              <w:jc w:val="both"/>
              <w:rPr>
                <w:rFonts w:ascii="Times New Roman" w:hAnsi="Times New Roman"/>
                <w:sz w:val="22"/>
              </w:rPr>
            </w:pPr>
            <w:r w:rsidRPr="006A350A">
              <w:rPr>
                <w:rFonts w:ascii="Times New Roman" w:hAnsi="Times New Roman"/>
                <w:sz w:val="22"/>
              </w:rPr>
              <w:t>Jautājums. Uz projekta iesnieguma iesniegšanas dienu ir izsludināts iepirkums. Ir izstrādāts un Būvvaldē akceptēts ēkas rekonstrukcijas tehniskais projekts. Ja būvprojekta sastāvā nav pārskata par ēkas energosertifikāta aprēķinos izmantotajām ievaddatu vērtībām un aprēķinu metodiku, kādus dokumentus jāietver projekta iesniegumā?</w:t>
            </w:r>
          </w:p>
        </w:tc>
        <w:tc>
          <w:tcPr>
            <w:tcW w:w="7085" w:type="dxa"/>
          </w:tcPr>
          <w:p w14:paraId="00626025" w14:textId="35D17540" w:rsidR="00241FCA" w:rsidRPr="006A350A" w:rsidRDefault="00095752" w:rsidP="00241FCA">
            <w:pPr>
              <w:jc w:val="both"/>
              <w:rPr>
                <w:rFonts w:ascii="Times New Roman" w:hAnsi="Times New Roman"/>
                <w:sz w:val="22"/>
              </w:rPr>
            </w:pPr>
            <w:bookmarkStart w:id="0" w:name="OLE_LINK1"/>
            <w:bookmarkStart w:id="1" w:name="OLE_LINK2"/>
            <w:bookmarkStart w:id="2" w:name="OLE_LINK3"/>
            <w:r w:rsidRPr="006A350A">
              <w:rPr>
                <w:rFonts w:ascii="Times New Roman" w:hAnsi="Times New Roman"/>
                <w:sz w:val="22"/>
              </w:rPr>
              <w:t xml:space="preserve">Saskaņā ar MK noteikumu Nr.35 </w:t>
            </w:r>
            <w:r>
              <w:rPr>
                <w:rFonts w:ascii="Times New Roman" w:hAnsi="Times New Roman"/>
                <w:sz w:val="22"/>
              </w:rPr>
              <w:t>41</w:t>
            </w:r>
            <w:r w:rsidRPr="006A350A">
              <w:rPr>
                <w:rFonts w:ascii="Times New Roman" w:hAnsi="Times New Roman"/>
                <w:sz w:val="22"/>
              </w:rPr>
              <w:t>.</w:t>
            </w:r>
            <w:r>
              <w:rPr>
                <w:rFonts w:ascii="Times New Roman" w:hAnsi="Times New Roman"/>
                <w:sz w:val="22"/>
              </w:rPr>
              <w:t>2</w:t>
            </w:r>
            <w:r w:rsidRPr="006A350A">
              <w:rPr>
                <w:rFonts w:ascii="Times New Roman" w:hAnsi="Times New Roman"/>
                <w:sz w:val="22"/>
              </w:rPr>
              <w:t>.</w:t>
            </w:r>
            <w:r>
              <w:rPr>
                <w:rFonts w:ascii="Times New Roman" w:hAnsi="Times New Roman"/>
                <w:sz w:val="22"/>
              </w:rPr>
              <w:t>3.</w:t>
            </w:r>
            <w:r w:rsidR="009E5BCC">
              <w:rPr>
                <w:rFonts w:ascii="Times New Roman" w:hAnsi="Times New Roman"/>
                <w:sz w:val="22"/>
              </w:rPr>
              <w:t>2</w:t>
            </w:r>
            <w:r w:rsidRPr="006A350A">
              <w:rPr>
                <w:rFonts w:ascii="Times New Roman" w:hAnsi="Times New Roman"/>
                <w:sz w:val="22"/>
              </w:rPr>
              <w:t xml:space="preserve"> </w:t>
            </w:r>
            <w:r>
              <w:rPr>
                <w:rFonts w:ascii="Times New Roman" w:hAnsi="Times New Roman"/>
                <w:sz w:val="22"/>
              </w:rPr>
              <w:t>apakš</w:t>
            </w:r>
            <w:r w:rsidRPr="006A350A">
              <w:rPr>
                <w:rFonts w:ascii="Times New Roman" w:hAnsi="Times New Roman"/>
                <w:sz w:val="22"/>
              </w:rPr>
              <w:t>punktu</w:t>
            </w:r>
            <w:r w:rsidR="009E5BCC">
              <w:rPr>
                <w:rFonts w:ascii="Times New Roman" w:hAnsi="Times New Roman"/>
                <w:sz w:val="22"/>
              </w:rPr>
              <w:t xml:space="preserve"> </w:t>
            </w:r>
            <w:bookmarkEnd w:id="0"/>
            <w:bookmarkEnd w:id="1"/>
            <w:bookmarkEnd w:id="2"/>
            <w:r w:rsidR="009E5BCC">
              <w:rPr>
                <w:rFonts w:ascii="Times New Roman" w:hAnsi="Times New Roman"/>
                <w:sz w:val="22"/>
              </w:rPr>
              <w:t>ēkas energosertifikāts un pārskats</w:t>
            </w:r>
            <w:r w:rsidR="009E5BCC" w:rsidRPr="006A350A">
              <w:rPr>
                <w:rFonts w:ascii="Times New Roman" w:hAnsi="Times New Roman"/>
                <w:sz w:val="22"/>
              </w:rPr>
              <w:t xml:space="preserve"> par ēkas energosertifikāta aprēķinos izmantotajām ievaddatu vērtībām un aprēķinu metodiku</w:t>
            </w:r>
            <w:r w:rsidR="009E5BCC">
              <w:rPr>
                <w:rFonts w:ascii="Times New Roman" w:hAnsi="Times New Roman"/>
                <w:sz w:val="22"/>
              </w:rPr>
              <w:t xml:space="preserve"> nav iesniedzams tikai tādos gadījumos, ja šāda informācija ir norādīta būvprojekta</w:t>
            </w:r>
            <w:r w:rsidR="009E5BCC" w:rsidRPr="006A350A">
              <w:rPr>
                <w:rFonts w:ascii="Times New Roman" w:hAnsi="Times New Roman"/>
                <w:sz w:val="22"/>
              </w:rPr>
              <w:t>, apliecinājuma kartes vai paskaidrojuma raksta dokumentos</w:t>
            </w:r>
            <w:r w:rsidR="009E5BCC">
              <w:rPr>
                <w:rFonts w:ascii="Times New Roman" w:hAnsi="Times New Roman"/>
                <w:sz w:val="22"/>
              </w:rPr>
              <w:t xml:space="preserve"> un, balstoties uz šiem dokumentiem, ir izsludināts iepirkums. Gadījumos, kad iepirkums nav izsludināts, vai minētie dokumenti nesatur nepieciešamo informāciju, ja iepirkums ir izsludināts – projekta iesnieguma veidlapai ir nepieciešams pievienot </w:t>
            </w:r>
            <w:r w:rsidRPr="00095752">
              <w:rPr>
                <w:rFonts w:ascii="Times New Roman" w:hAnsi="Times New Roman"/>
                <w:sz w:val="22"/>
              </w:rPr>
              <w:t>neatkarīga eksperta ēku energoefektivitātes jomā izstrādāt</w:t>
            </w:r>
            <w:r>
              <w:rPr>
                <w:rFonts w:ascii="Times New Roman" w:hAnsi="Times New Roman"/>
                <w:sz w:val="22"/>
              </w:rPr>
              <w:t>s</w:t>
            </w:r>
            <w:r w:rsidRPr="00095752">
              <w:rPr>
                <w:rFonts w:ascii="Times New Roman" w:hAnsi="Times New Roman"/>
                <w:sz w:val="22"/>
              </w:rPr>
              <w:t xml:space="preserve"> ēkas energosertifikāt</w:t>
            </w:r>
            <w:r>
              <w:rPr>
                <w:rFonts w:ascii="Times New Roman" w:hAnsi="Times New Roman"/>
                <w:sz w:val="22"/>
              </w:rPr>
              <w:t>s</w:t>
            </w:r>
            <w:r w:rsidRPr="00095752">
              <w:rPr>
                <w:rFonts w:ascii="Times New Roman" w:hAnsi="Times New Roman"/>
                <w:sz w:val="22"/>
              </w:rPr>
              <w:t xml:space="preserve"> (tajā skaitā pārskat</w:t>
            </w:r>
            <w:r w:rsidR="00241FCA">
              <w:rPr>
                <w:rFonts w:ascii="Times New Roman" w:hAnsi="Times New Roman"/>
                <w:sz w:val="22"/>
              </w:rPr>
              <w:t>s</w:t>
            </w:r>
            <w:r w:rsidRPr="00095752">
              <w:rPr>
                <w:rFonts w:ascii="Times New Roman" w:hAnsi="Times New Roman"/>
                <w:sz w:val="22"/>
              </w:rPr>
              <w:t xml:space="preserve"> par ēkas energosertifikāta aprēķinos izmantotajām ievaddatu vērtībām saskaņā ar </w:t>
            </w:r>
            <w:r w:rsidRPr="006A350A">
              <w:rPr>
                <w:rFonts w:ascii="Times New Roman" w:hAnsi="Times New Roman"/>
                <w:sz w:val="22"/>
              </w:rPr>
              <w:t xml:space="preserve">MK noteikumu Nr.35 </w:t>
            </w:r>
            <w:r w:rsidRPr="00095752">
              <w:rPr>
                <w:rFonts w:ascii="Times New Roman" w:hAnsi="Times New Roman"/>
                <w:sz w:val="22"/>
              </w:rPr>
              <w:t>1. pielikumu)</w:t>
            </w:r>
            <w:r w:rsidR="00241FCA">
              <w:rPr>
                <w:rFonts w:ascii="Times New Roman" w:hAnsi="Times New Roman"/>
                <w:sz w:val="22"/>
              </w:rPr>
              <w:t>.</w:t>
            </w:r>
          </w:p>
        </w:tc>
      </w:tr>
      <w:tr w:rsidR="006A350A" w:rsidRPr="006A350A" w14:paraId="707C709D" w14:textId="77777777" w:rsidTr="009A3EEA">
        <w:trPr>
          <w:cantSplit/>
        </w:trPr>
        <w:tc>
          <w:tcPr>
            <w:tcW w:w="822" w:type="dxa"/>
          </w:tcPr>
          <w:p w14:paraId="353302C2" w14:textId="77777777" w:rsidR="006A350A" w:rsidRPr="006A350A" w:rsidRDefault="006A350A" w:rsidP="00AB59BD">
            <w:pPr>
              <w:jc w:val="center"/>
              <w:rPr>
                <w:rFonts w:ascii="Times New Roman" w:hAnsi="Times New Roman"/>
                <w:sz w:val="22"/>
              </w:rPr>
            </w:pPr>
            <w:r w:rsidRPr="006A350A">
              <w:rPr>
                <w:rFonts w:ascii="Times New Roman" w:hAnsi="Times New Roman"/>
                <w:sz w:val="22"/>
              </w:rPr>
              <w:t>6.</w:t>
            </w:r>
          </w:p>
        </w:tc>
        <w:tc>
          <w:tcPr>
            <w:tcW w:w="6719" w:type="dxa"/>
          </w:tcPr>
          <w:p w14:paraId="00FDAC64" w14:textId="77777777" w:rsidR="006A350A" w:rsidRPr="006A350A" w:rsidRDefault="006A350A" w:rsidP="006A350A">
            <w:pPr>
              <w:jc w:val="both"/>
              <w:rPr>
                <w:rFonts w:ascii="Times New Roman" w:hAnsi="Times New Roman"/>
                <w:sz w:val="22"/>
              </w:rPr>
            </w:pPr>
            <w:r w:rsidRPr="006A350A">
              <w:rPr>
                <w:rFonts w:ascii="Times New Roman" w:hAnsi="Times New Roman"/>
                <w:sz w:val="22"/>
              </w:rPr>
              <w:t>Vai tiek plānots seminārs par projekta iesnieguma sagatavošanu un nosacījumiem projektu īstenošanā?</w:t>
            </w:r>
          </w:p>
        </w:tc>
        <w:tc>
          <w:tcPr>
            <w:tcW w:w="7085" w:type="dxa"/>
          </w:tcPr>
          <w:p w14:paraId="1ECB18A0" w14:textId="76E74D1E" w:rsidR="006A350A" w:rsidRPr="006A350A" w:rsidRDefault="00095752" w:rsidP="009E5BCC">
            <w:pPr>
              <w:jc w:val="both"/>
              <w:rPr>
                <w:rFonts w:ascii="Times New Roman" w:hAnsi="Times New Roman"/>
                <w:sz w:val="22"/>
              </w:rPr>
            </w:pPr>
            <w:r>
              <w:rPr>
                <w:rFonts w:ascii="Times New Roman" w:hAnsi="Times New Roman"/>
                <w:sz w:val="22"/>
              </w:rPr>
              <w:t>Seminārs par projekta iesniegumu sagatavošanu netiek plānots</w:t>
            </w:r>
            <w:r w:rsidR="009E5BCC">
              <w:rPr>
                <w:rFonts w:ascii="Times New Roman" w:hAnsi="Times New Roman"/>
                <w:sz w:val="22"/>
              </w:rPr>
              <w:t>.</w:t>
            </w:r>
          </w:p>
        </w:tc>
      </w:tr>
      <w:tr w:rsidR="00E63655" w:rsidRPr="00E63655" w14:paraId="08205C61" w14:textId="77777777" w:rsidTr="009A3EEA">
        <w:trPr>
          <w:cantSplit/>
        </w:trPr>
        <w:tc>
          <w:tcPr>
            <w:tcW w:w="822" w:type="dxa"/>
          </w:tcPr>
          <w:p w14:paraId="56F15EAD" w14:textId="5C84989A" w:rsidR="00E63655" w:rsidRPr="00E63655" w:rsidRDefault="00E63655" w:rsidP="00AB59BD">
            <w:pPr>
              <w:jc w:val="center"/>
              <w:rPr>
                <w:rFonts w:ascii="Times New Roman" w:hAnsi="Times New Roman"/>
                <w:sz w:val="22"/>
              </w:rPr>
            </w:pPr>
            <w:r w:rsidRPr="00E63655">
              <w:rPr>
                <w:rFonts w:ascii="Times New Roman" w:hAnsi="Times New Roman"/>
                <w:sz w:val="22"/>
              </w:rPr>
              <w:t>7.</w:t>
            </w:r>
          </w:p>
        </w:tc>
        <w:tc>
          <w:tcPr>
            <w:tcW w:w="6719" w:type="dxa"/>
          </w:tcPr>
          <w:p w14:paraId="1D107668" w14:textId="77777777" w:rsidR="00E63655" w:rsidRPr="00E63655" w:rsidRDefault="00E63655" w:rsidP="00E63655">
            <w:pPr>
              <w:jc w:val="both"/>
              <w:rPr>
                <w:rFonts w:ascii="Times New Roman" w:hAnsi="Times New Roman"/>
                <w:sz w:val="22"/>
              </w:rPr>
            </w:pPr>
            <w:r w:rsidRPr="00E63655">
              <w:rPr>
                <w:rFonts w:ascii="Times New Roman" w:hAnsi="Times New Roman"/>
                <w:sz w:val="22"/>
              </w:rPr>
              <w:t>Iepazīstoties ar konkursa nolikumu un tā nosacījumiem ir radušies neskaidri jautājumi par to kāda informācija jānorāda projekta iesniegumā, lai projekta vērtētājam tā būtu saprotama situācijā, kad ēka vienlaikus ir valsts nozīmes aizsargājams arhitektūras piemineklis un pēc lietošanas veida - biroja ēka.</w:t>
            </w:r>
          </w:p>
          <w:p w14:paraId="1B9B259C" w14:textId="77777777" w:rsidR="00E63655" w:rsidRPr="00E63655" w:rsidRDefault="00E63655" w:rsidP="00E63655">
            <w:pPr>
              <w:jc w:val="both"/>
              <w:rPr>
                <w:rFonts w:ascii="Times New Roman" w:hAnsi="Times New Roman"/>
                <w:sz w:val="22"/>
              </w:rPr>
            </w:pPr>
            <w:r w:rsidRPr="00E63655">
              <w:rPr>
                <w:rFonts w:ascii="Times New Roman" w:hAnsi="Times New Roman"/>
                <w:sz w:val="22"/>
              </w:rPr>
              <w:t xml:space="preserve"> </w:t>
            </w:r>
          </w:p>
          <w:p w14:paraId="04C9EBCB" w14:textId="0B76FE74" w:rsidR="00E63655" w:rsidRPr="00E63655" w:rsidRDefault="00E63655" w:rsidP="00E63655">
            <w:pPr>
              <w:jc w:val="both"/>
              <w:rPr>
                <w:rFonts w:ascii="Times New Roman" w:hAnsi="Times New Roman"/>
                <w:sz w:val="22"/>
              </w:rPr>
            </w:pPr>
            <w:r w:rsidRPr="00E63655">
              <w:rPr>
                <w:rFonts w:ascii="Times New Roman" w:hAnsi="Times New Roman"/>
                <w:sz w:val="22"/>
              </w:rPr>
              <w:t xml:space="preserve">Saskaņā ar Valsts kultūras pieminekļu aizsardzības inspekcijas sniegto informāciju Ķemeru Nacionālā parka administratīvi informatīvais centrs “Meža māja” ir Valsts nozīmes arhitektūras piemineklis Nr. 5715. Ēka, kuru uzcēla 1933. g., ir viena no Latvijas spilgtākajām nacionālā romantisma celtnēm. Tā sākotnēji kalpoja kā plašākā apkārtnē pazīstamais restorāns “Jautrais ods”, kas saskaņā ar Kultūras ministrijas rīkojumu Nr.137 tika apstiprināts kā papildinājums valsts aizsargājamo kultūras pieminekļu sarakstā. Pēc 2. Pasaules kara ēkā tika izveidota bērnu sanatorija </w:t>
            </w:r>
            <w:r w:rsidR="00672CA3" w:rsidRPr="00672CA3">
              <w:rPr>
                <w:rFonts w:ascii="Times New Roman" w:hAnsi="Times New Roman"/>
                <w:sz w:val="22"/>
              </w:rPr>
              <w:t>-</w:t>
            </w:r>
            <w:r w:rsidRPr="00E63655">
              <w:rPr>
                <w:rFonts w:ascii="Times New Roman" w:hAnsi="Times New Roman"/>
                <w:sz w:val="22"/>
              </w:rPr>
              <w:t xml:space="preserve"> “Meža māja”. 1997. g. līdz ar Ķemeru nacionālā parka izveidi “Meža māja” kļuva par parka administrācijas ēku un vienlaikus arī par modernu parka apmeklētāju centru, un norises vietu dažādiem vides izglītības pasākumiem. Ņemot vērā Valsts zemes dienesta Kadastra informācijas sistēmas datus, minētā būve ar kadastra apzīmējumu Nr.13000262611001 pēc adreses “Meža māja”, Jūrmala pēc tā lietošanas veida ir </w:t>
            </w:r>
            <w:bookmarkStart w:id="3" w:name="OLE_LINK4"/>
            <w:bookmarkStart w:id="4" w:name="OLE_LINK5"/>
            <w:bookmarkStart w:id="5" w:name="OLE_LINK6"/>
            <w:r w:rsidRPr="00E63655">
              <w:rPr>
                <w:rFonts w:ascii="Times New Roman" w:hAnsi="Times New Roman"/>
                <w:sz w:val="22"/>
              </w:rPr>
              <w:t>biroja ēka ar kodu 1220</w:t>
            </w:r>
            <w:bookmarkEnd w:id="3"/>
            <w:bookmarkEnd w:id="4"/>
            <w:bookmarkEnd w:id="5"/>
          </w:p>
        </w:tc>
        <w:tc>
          <w:tcPr>
            <w:tcW w:w="7085" w:type="dxa"/>
          </w:tcPr>
          <w:p w14:paraId="50E549F1" w14:textId="018B360D" w:rsidR="00E63655" w:rsidRPr="00E63655" w:rsidRDefault="00E63655" w:rsidP="00E63655">
            <w:pPr>
              <w:jc w:val="both"/>
              <w:rPr>
                <w:rFonts w:ascii="Times New Roman" w:hAnsi="Times New Roman"/>
                <w:sz w:val="22"/>
              </w:rPr>
            </w:pPr>
            <w:r w:rsidRPr="006A350A">
              <w:rPr>
                <w:rFonts w:ascii="Times New Roman" w:hAnsi="Times New Roman"/>
                <w:sz w:val="22"/>
              </w:rPr>
              <w:t xml:space="preserve">Saskaņā ar </w:t>
            </w:r>
            <w:bookmarkStart w:id="6" w:name="OLE_LINK7"/>
            <w:bookmarkStart w:id="7" w:name="OLE_LINK8"/>
            <w:bookmarkStart w:id="8" w:name="OLE_LINK9"/>
            <w:r w:rsidRPr="006A350A">
              <w:rPr>
                <w:rFonts w:ascii="Times New Roman" w:hAnsi="Times New Roman"/>
                <w:sz w:val="22"/>
              </w:rPr>
              <w:t xml:space="preserve">MK noteikumu Nr.35 </w:t>
            </w:r>
            <w:r w:rsidRPr="00E63655">
              <w:rPr>
                <w:rFonts w:ascii="Times New Roman" w:hAnsi="Times New Roman"/>
                <w:sz w:val="22"/>
              </w:rPr>
              <w:t xml:space="preserve">16.1 </w:t>
            </w:r>
            <w:r>
              <w:rPr>
                <w:rFonts w:ascii="Times New Roman" w:hAnsi="Times New Roman"/>
                <w:sz w:val="22"/>
              </w:rPr>
              <w:t>apakš</w:t>
            </w:r>
            <w:r w:rsidRPr="006A350A">
              <w:rPr>
                <w:rFonts w:ascii="Times New Roman" w:hAnsi="Times New Roman"/>
                <w:sz w:val="22"/>
              </w:rPr>
              <w:t>punktu</w:t>
            </w:r>
            <w:bookmarkEnd w:id="6"/>
            <w:bookmarkEnd w:id="7"/>
            <w:bookmarkEnd w:id="8"/>
            <w:r>
              <w:t xml:space="preserve"> </w:t>
            </w:r>
            <w:r w:rsidRPr="00E63655">
              <w:rPr>
                <w:rFonts w:ascii="Times New Roman" w:hAnsi="Times New Roman"/>
                <w:sz w:val="22"/>
              </w:rPr>
              <w:t xml:space="preserve">projektā iekļautās aktivitātes </w:t>
            </w:r>
            <w:r>
              <w:rPr>
                <w:rFonts w:ascii="Times New Roman" w:hAnsi="Times New Roman"/>
                <w:sz w:val="22"/>
              </w:rPr>
              <w:t>var</w:t>
            </w:r>
            <w:r w:rsidRPr="00E63655">
              <w:rPr>
                <w:rFonts w:ascii="Times New Roman" w:hAnsi="Times New Roman"/>
                <w:sz w:val="22"/>
              </w:rPr>
              <w:t xml:space="preserve"> īstenot ēkā, kas </w:t>
            </w:r>
            <w:r w:rsidRPr="00E63655">
              <w:rPr>
                <w:rFonts w:ascii="Times New Roman" w:hAnsi="Times New Roman"/>
                <w:b/>
                <w:sz w:val="22"/>
              </w:rPr>
              <w:t>atbilst valsts nozīmes aizsargājamā arhitektūras pieminekļa statusam</w:t>
            </w:r>
            <w:r w:rsidRPr="00E63655">
              <w:rPr>
                <w:rFonts w:ascii="Times New Roman" w:hAnsi="Times New Roman"/>
                <w:sz w:val="22"/>
              </w:rPr>
              <w:t xml:space="preserve">, un tā saskaņā ar normatīvajiem aktiem par būvju klasifikāciju </w:t>
            </w:r>
            <w:r w:rsidRPr="00E63655">
              <w:rPr>
                <w:rFonts w:ascii="Times New Roman" w:hAnsi="Times New Roman"/>
                <w:b/>
                <w:sz w:val="22"/>
              </w:rPr>
              <w:t>atbilst kādai no šādām ēku klasēm</w:t>
            </w:r>
            <w:r w:rsidRPr="00E63655">
              <w:rPr>
                <w:rFonts w:ascii="Times New Roman" w:hAnsi="Times New Roman"/>
                <w:sz w:val="22"/>
              </w:rPr>
              <w:t>:</w:t>
            </w:r>
          </w:p>
          <w:p w14:paraId="07528F47" w14:textId="573B1428" w:rsidR="00E63655" w:rsidRPr="00E63655" w:rsidRDefault="00E63655" w:rsidP="00E63655">
            <w:pPr>
              <w:pStyle w:val="ListParagraph"/>
              <w:numPr>
                <w:ilvl w:val="0"/>
                <w:numId w:val="1"/>
              </w:numPr>
              <w:jc w:val="both"/>
              <w:rPr>
                <w:rFonts w:ascii="Times New Roman" w:hAnsi="Times New Roman"/>
                <w:sz w:val="22"/>
              </w:rPr>
            </w:pPr>
            <w:r w:rsidRPr="00E63655">
              <w:rPr>
                <w:rFonts w:ascii="Times New Roman" w:hAnsi="Times New Roman"/>
                <w:sz w:val="22"/>
              </w:rPr>
              <w:t>ēkas plašizklaides pasākumiem (</w:t>
            </w:r>
            <w:r w:rsidRPr="00E63655">
              <w:rPr>
                <w:rFonts w:ascii="Times New Roman" w:hAnsi="Times New Roman"/>
                <w:b/>
                <w:sz w:val="22"/>
              </w:rPr>
              <w:t>kods 1261</w:t>
            </w:r>
            <w:r w:rsidRPr="00E63655">
              <w:rPr>
                <w:rFonts w:ascii="Times New Roman" w:hAnsi="Times New Roman"/>
                <w:sz w:val="22"/>
              </w:rPr>
              <w:t>). Attiecināms tikai uz ēkām, kurās tiek īstenotas Kultūras institūciju likuma 2. panta otrajā daļā noteiktās funkcijas;</w:t>
            </w:r>
          </w:p>
          <w:p w14:paraId="054F396A" w14:textId="036E4A69" w:rsidR="00E63655" w:rsidRPr="00E63655" w:rsidRDefault="00E63655" w:rsidP="00E63655">
            <w:pPr>
              <w:pStyle w:val="ListParagraph"/>
              <w:numPr>
                <w:ilvl w:val="0"/>
                <w:numId w:val="1"/>
              </w:numPr>
              <w:jc w:val="both"/>
              <w:rPr>
                <w:rFonts w:ascii="Times New Roman" w:hAnsi="Times New Roman"/>
                <w:sz w:val="22"/>
              </w:rPr>
            </w:pPr>
            <w:r w:rsidRPr="00E63655">
              <w:rPr>
                <w:rFonts w:ascii="Times New Roman" w:hAnsi="Times New Roman"/>
                <w:sz w:val="22"/>
              </w:rPr>
              <w:t>muzeji un bibliotēkas (</w:t>
            </w:r>
            <w:r w:rsidRPr="00E63655">
              <w:rPr>
                <w:rFonts w:ascii="Times New Roman" w:hAnsi="Times New Roman"/>
                <w:b/>
                <w:sz w:val="22"/>
              </w:rPr>
              <w:t>kods 1262</w:t>
            </w:r>
            <w:r w:rsidRPr="00E63655">
              <w:rPr>
                <w:rFonts w:ascii="Times New Roman" w:hAnsi="Times New Roman"/>
                <w:sz w:val="22"/>
              </w:rPr>
              <w:t>);</w:t>
            </w:r>
          </w:p>
          <w:p w14:paraId="4B5A47D6" w14:textId="3DC99BC8" w:rsidR="00E63655" w:rsidRPr="00E63655" w:rsidRDefault="00E63655" w:rsidP="00E63655">
            <w:pPr>
              <w:pStyle w:val="ListParagraph"/>
              <w:numPr>
                <w:ilvl w:val="0"/>
                <w:numId w:val="1"/>
              </w:numPr>
              <w:jc w:val="both"/>
              <w:rPr>
                <w:rFonts w:ascii="Times New Roman" w:hAnsi="Times New Roman"/>
                <w:sz w:val="22"/>
              </w:rPr>
            </w:pPr>
            <w:r w:rsidRPr="00E63655">
              <w:rPr>
                <w:rFonts w:ascii="Times New Roman" w:hAnsi="Times New Roman"/>
                <w:sz w:val="22"/>
              </w:rPr>
              <w:t>skolas, universitātes un zinātniskai pētniecībai paredzētas ēkas (</w:t>
            </w:r>
            <w:r w:rsidRPr="00E63655">
              <w:rPr>
                <w:rFonts w:ascii="Times New Roman" w:hAnsi="Times New Roman"/>
                <w:b/>
                <w:sz w:val="22"/>
              </w:rPr>
              <w:t>kods 1263</w:t>
            </w:r>
            <w:r w:rsidRPr="00E63655">
              <w:rPr>
                <w:rFonts w:ascii="Times New Roman" w:hAnsi="Times New Roman"/>
                <w:sz w:val="22"/>
              </w:rPr>
              <w:t>);</w:t>
            </w:r>
          </w:p>
          <w:p w14:paraId="6182BCA6" w14:textId="42730EE0" w:rsidR="00E63655" w:rsidRPr="00E63655" w:rsidRDefault="00E63655" w:rsidP="00E63655">
            <w:pPr>
              <w:pStyle w:val="ListParagraph"/>
              <w:numPr>
                <w:ilvl w:val="0"/>
                <w:numId w:val="1"/>
              </w:numPr>
              <w:jc w:val="both"/>
              <w:rPr>
                <w:rFonts w:ascii="Times New Roman" w:hAnsi="Times New Roman"/>
                <w:sz w:val="22"/>
              </w:rPr>
            </w:pPr>
            <w:r w:rsidRPr="00E63655">
              <w:rPr>
                <w:rFonts w:ascii="Times New Roman" w:hAnsi="Times New Roman"/>
                <w:sz w:val="22"/>
              </w:rPr>
              <w:t>kulta ēkas (</w:t>
            </w:r>
            <w:r w:rsidRPr="00E63655">
              <w:rPr>
                <w:rFonts w:ascii="Times New Roman" w:hAnsi="Times New Roman"/>
                <w:b/>
                <w:sz w:val="22"/>
              </w:rPr>
              <w:t>kods 1272</w:t>
            </w:r>
            <w:r w:rsidRPr="00E63655">
              <w:rPr>
                <w:rFonts w:ascii="Times New Roman" w:hAnsi="Times New Roman"/>
                <w:sz w:val="22"/>
              </w:rPr>
              <w:t>);</w:t>
            </w:r>
          </w:p>
          <w:p w14:paraId="54A54805" w14:textId="477247ED" w:rsidR="00E63655" w:rsidRPr="00E63655" w:rsidRDefault="00E63655" w:rsidP="00E63655">
            <w:pPr>
              <w:pStyle w:val="ListParagraph"/>
              <w:numPr>
                <w:ilvl w:val="0"/>
                <w:numId w:val="1"/>
              </w:numPr>
              <w:jc w:val="both"/>
              <w:rPr>
                <w:rFonts w:ascii="Times New Roman" w:hAnsi="Times New Roman"/>
                <w:sz w:val="22"/>
              </w:rPr>
            </w:pPr>
            <w:r w:rsidRPr="00E63655">
              <w:rPr>
                <w:rFonts w:ascii="Times New Roman" w:hAnsi="Times New Roman"/>
                <w:sz w:val="22"/>
              </w:rPr>
              <w:t>kultūrvēsturiskie objekti (</w:t>
            </w:r>
            <w:r w:rsidRPr="00E63655">
              <w:rPr>
                <w:rFonts w:ascii="Times New Roman" w:hAnsi="Times New Roman"/>
                <w:b/>
                <w:sz w:val="22"/>
              </w:rPr>
              <w:t>kods 1273</w:t>
            </w:r>
            <w:r>
              <w:rPr>
                <w:rFonts w:ascii="Times New Roman" w:hAnsi="Times New Roman"/>
                <w:sz w:val="22"/>
              </w:rPr>
              <w:t>).</w:t>
            </w:r>
          </w:p>
          <w:p w14:paraId="51676F29" w14:textId="2F31469E" w:rsidR="00E63655" w:rsidRPr="00E63655" w:rsidRDefault="00E63655" w:rsidP="00E63655">
            <w:pPr>
              <w:jc w:val="both"/>
              <w:rPr>
                <w:rFonts w:ascii="Times New Roman" w:hAnsi="Times New Roman"/>
                <w:sz w:val="22"/>
              </w:rPr>
            </w:pPr>
            <w:r>
              <w:rPr>
                <w:rFonts w:ascii="Times New Roman" w:hAnsi="Times New Roman"/>
                <w:sz w:val="22"/>
              </w:rPr>
              <w:t>B</w:t>
            </w:r>
            <w:r w:rsidRPr="00E63655">
              <w:rPr>
                <w:rFonts w:ascii="Times New Roman" w:hAnsi="Times New Roman"/>
                <w:sz w:val="22"/>
              </w:rPr>
              <w:t>iroja ēka ar kodu 1220</w:t>
            </w:r>
            <w:r>
              <w:rPr>
                <w:rFonts w:ascii="Times New Roman" w:hAnsi="Times New Roman"/>
                <w:sz w:val="22"/>
              </w:rPr>
              <w:t xml:space="preserve"> </w:t>
            </w:r>
            <w:r w:rsidRPr="00E63655">
              <w:rPr>
                <w:rFonts w:ascii="Times New Roman" w:hAnsi="Times New Roman"/>
                <w:b/>
                <w:sz w:val="22"/>
              </w:rPr>
              <w:t>nevar pretendēt</w:t>
            </w:r>
            <w:r>
              <w:rPr>
                <w:rFonts w:ascii="Times New Roman" w:hAnsi="Times New Roman"/>
                <w:sz w:val="22"/>
              </w:rPr>
              <w:t xml:space="preserve"> </w:t>
            </w:r>
            <w:r w:rsidRPr="00E63655">
              <w:rPr>
                <w:rFonts w:ascii="Times New Roman" w:hAnsi="Times New Roman"/>
                <w:sz w:val="22"/>
              </w:rPr>
              <w:t>uz finanšu instrumenta finansējumu</w:t>
            </w:r>
            <w:r>
              <w:rPr>
                <w:rFonts w:ascii="Times New Roman" w:hAnsi="Times New Roman"/>
                <w:sz w:val="22"/>
              </w:rPr>
              <w:t xml:space="preserve">, jo neatbilst </w:t>
            </w:r>
            <w:r w:rsidRPr="00E63655">
              <w:rPr>
                <w:rFonts w:ascii="Times New Roman" w:hAnsi="Times New Roman"/>
                <w:sz w:val="22"/>
              </w:rPr>
              <w:t xml:space="preserve">MK </w:t>
            </w:r>
            <w:r>
              <w:rPr>
                <w:rFonts w:ascii="Times New Roman" w:hAnsi="Times New Roman"/>
                <w:sz w:val="22"/>
              </w:rPr>
              <w:t>noteikumu Nr.35 16.1 apakšpunkta prasībām.</w:t>
            </w:r>
          </w:p>
        </w:tc>
      </w:tr>
      <w:tr w:rsidR="00672CA3" w:rsidRPr="00672CA3" w14:paraId="765C6D2E" w14:textId="77777777" w:rsidTr="009A3EEA">
        <w:trPr>
          <w:cantSplit/>
        </w:trPr>
        <w:tc>
          <w:tcPr>
            <w:tcW w:w="822" w:type="dxa"/>
          </w:tcPr>
          <w:p w14:paraId="7A2B8E2D" w14:textId="52D572E6" w:rsidR="00672CA3" w:rsidRPr="00672CA3" w:rsidRDefault="00672CA3" w:rsidP="00AB59BD">
            <w:pPr>
              <w:jc w:val="center"/>
              <w:rPr>
                <w:rFonts w:ascii="Times New Roman" w:hAnsi="Times New Roman"/>
                <w:sz w:val="22"/>
              </w:rPr>
            </w:pPr>
            <w:r w:rsidRPr="00672CA3">
              <w:rPr>
                <w:rFonts w:ascii="Times New Roman" w:hAnsi="Times New Roman"/>
                <w:sz w:val="22"/>
              </w:rPr>
              <w:t>8.</w:t>
            </w:r>
          </w:p>
        </w:tc>
        <w:tc>
          <w:tcPr>
            <w:tcW w:w="6719" w:type="dxa"/>
          </w:tcPr>
          <w:p w14:paraId="085469CA" w14:textId="797AA92E" w:rsidR="00672CA3" w:rsidRPr="00672CA3" w:rsidRDefault="00672CA3" w:rsidP="00672CA3">
            <w:pPr>
              <w:jc w:val="both"/>
              <w:rPr>
                <w:rFonts w:ascii="Times New Roman" w:hAnsi="Times New Roman"/>
                <w:sz w:val="22"/>
              </w:rPr>
            </w:pPr>
            <w:r w:rsidRPr="00672CA3">
              <w:rPr>
                <w:rFonts w:ascii="Times New Roman" w:hAnsi="Times New Roman"/>
                <w:sz w:val="22"/>
              </w:rPr>
              <w:t>1. Telpas ārsiena tiek siltināta no ēkas iekšpuses. Lai to izdarītu, jādemontē dekoratīvā griestu karnīze un daļa no grīdas dēļu seguma. Pēc sienas siltināšanas un jaunā apmetuma izveidošanas gries</w:t>
            </w:r>
            <w:r>
              <w:rPr>
                <w:rFonts w:ascii="Times New Roman" w:hAnsi="Times New Roman"/>
                <w:sz w:val="22"/>
              </w:rPr>
              <w:t>t</w:t>
            </w:r>
            <w:r w:rsidRPr="00672CA3">
              <w:rPr>
                <w:rFonts w:ascii="Times New Roman" w:hAnsi="Times New Roman"/>
                <w:sz w:val="22"/>
              </w:rPr>
              <w:t xml:space="preserve">u karnīze ir jāatjauno. Jādemontē un pēc tam atpakaļ jāpiestiprina logu aplodas. </w:t>
            </w:r>
          </w:p>
          <w:p w14:paraId="296B208F" w14:textId="77777777" w:rsidR="00672CA3" w:rsidRPr="00672CA3" w:rsidRDefault="00672CA3" w:rsidP="00672CA3">
            <w:pPr>
              <w:jc w:val="both"/>
              <w:rPr>
                <w:rFonts w:ascii="Times New Roman" w:hAnsi="Times New Roman"/>
                <w:sz w:val="22"/>
              </w:rPr>
            </w:pPr>
            <w:r w:rsidRPr="00672CA3">
              <w:rPr>
                <w:rFonts w:ascii="Times New Roman" w:hAnsi="Times New Roman"/>
                <w:sz w:val="22"/>
              </w:rPr>
              <w:t>Demontējot grīdas seguma daļu, var izrādīties, ka atlikušie dēļu gali vairs nebalstās uz grīdas sijām, kas nozīmē, ka jāieklāj jauna grīda visā telpā. Telpas visas sienas ir jākrāso, jo uz vienas ir jauns apmetums, tāpat griesti. Visas šeit minētās aktivitātes ir saistītas ar energoefektivitātes paaugstināšanu, jo nebūtu jāveic, ja siena netiktu siltināta. Jautājums: Vai visas šīs izmaksas ir attiecināmas uz siltināšanu? Ja nē - tad kā novilkt robežu starp siltināšanu un vēsturiskā stāvokļa atjaunošanu?</w:t>
            </w:r>
          </w:p>
          <w:p w14:paraId="0DCCCDF1" w14:textId="77777777" w:rsidR="00672CA3" w:rsidRPr="00672CA3" w:rsidRDefault="00672CA3" w:rsidP="00672CA3">
            <w:pPr>
              <w:jc w:val="both"/>
              <w:rPr>
                <w:rFonts w:ascii="Times New Roman" w:hAnsi="Times New Roman"/>
                <w:sz w:val="22"/>
              </w:rPr>
            </w:pPr>
            <w:r w:rsidRPr="00672CA3">
              <w:rPr>
                <w:rFonts w:ascii="Times New Roman" w:hAnsi="Times New Roman"/>
                <w:sz w:val="22"/>
              </w:rPr>
              <w:t>2. Ēkai ir sarežģīta jumta konfigurācija, kur daļa ir savietotais jumts (kas tiek siltināts), daļā nē. Jumta segums jāmaina visai ēkai, jo jānodrošina tā lietus ūdens necaurlaidība, lai nebojātu siltinājuma daļu, kas ir pažobeļu grīdās. Tāpat jāizveido jauna lietusūdens tekņu un noteku sistēma. Jautājums: Vai visas šīs izmaksas ir attiecināmas uz siltināšanu? Ja nē - tad kā novilkt robežu starp siltināšanu un vēsturiskā stāvokļa atjaunošanu?</w:t>
            </w:r>
          </w:p>
          <w:p w14:paraId="05054EAD" w14:textId="77777777" w:rsidR="00672CA3" w:rsidRPr="00672CA3" w:rsidRDefault="00672CA3" w:rsidP="00672CA3">
            <w:pPr>
              <w:jc w:val="both"/>
              <w:rPr>
                <w:rFonts w:ascii="Times New Roman" w:hAnsi="Times New Roman"/>
                <w:sz w:val="22"/>
              </w:rPr>
            </w:pPr>
            <w:r w:rsidRPr="00672CA3">
              <w:rPr>
                <w:rFonts w:ascii="Times New Roman" w:hAnsi="Times New Roman"/>
                <w:sz w:val="22"/>
              </w:rPr>
              <w:t xml:space="preserve">3. Neattiecināmas ir teritorijas labiekārtošanas izmaksas, ja tās nav saistītas ar iepriekšējā stāvokļa atjaunošanu. Pie ēkas ir jāveic nelieli zemes virsmas planēšanas darbi, veidojot kritumu prom no ēkas. </w:t>
            </w:r>
          </w:p>
          <w:p w14:paraId="37A7F833" w14:textId="77777777" w:rsidR="00672CA3" w:rsidRPr="00672CA3" w:rsidRDefault="00672CA3" w:rsidP="00672CA3">
            <w:pPr>
              <w:jc w:val="both"/>
              <w:rPr>
                <w:rFonts w:ascii="Times New Roman" w:hAnsi="Times New Roman"/>
                <w:sz w:val="22"/>
              </w:rPr>
            </w:pPr>
            <w:r w:rsidRPr="00672CA3">
              <w:rPr>
                <w:rFonts w:ascii="Times New Roman" w:hAnsi="Times New Roman"/>
                <w:sz w:val="22"/>
              </w:rPr>
              <w:t xml:space="preserve">Tā nav gluži teritorijas labiekārtošana, bet gan virsūdeņu novadīšana no ēkas cokola, tajā skaitā arī no ēkas cokola siltinātās daļas (ir arī nesiltināta cokola daļa). Jautājums: Vai šīs izmaksas ir attiecināmas? </w:t>
            </w:r>
          </w:p>
          <w:p w14:paraId="73FA5419" w14:textId="41E97C97" w:rsidR="00672CA3" w:rsidRPr="00672CA3" w:rsidRDefault="00672CA3" w:rsidP="00672CA3">
            <w:pPr>
              <w:jc w:val="both"/>
              <w:rPr>
                <w:rFonts w:ascii="Times New Roman" w:hAnsi="Times New Roman"/>
                <w:sz w:val="22"/>
              </w:rPr>
            </w:pPr>
            <w:r w:rsidRPr="00672CA3">
              <w:rPr>
                <w:rFonts w:ascii="Times New Roman" w:hAnsi="Times New Roman"/>
                <w:sz w:val="22"/>
              </w:rPr>
              <w:t>Ja ir, tad kurā sadaļā ieskaitāmas - siltināšanā vai restaurācijā?</w:t>
            </w:r>
          </w:p>
        </w:tc>
        <w:tc>
          <w:tcPr>
            <w:tcW w:w="7085" w:type="dxa"/>
          </w:tcPr>
          <w:p w14:paraId="0A1FFD35" w14:textId="0184D590" w:rsidR="00672CA3" w:rsidRPr="00DB266F" w:rsidRDefault="00672CA3" w:rsidP="00672CA3">
            <w:pPr>
              <w:jc w:val="both"/>
              <w:rPr>
                <w:rFonts w:ascii="Times New Roman" w:hAnsi="Times New Roman"/>
                <w:sz w:val="22"/>
              </w:rPr>
            </w:pPr>
            <w:r>
              <w:rPr>
                <w:rFonts w:ascii="Times New Roman" w:hAnsi="Times New Roman"/>
                <w:sz w:val="22"/>
              </w:rPr>
              <w:t>Saskaņā ar MK noteikumu</w:t>
            </w:r>
            <w:r w:rsidRPr="00B74801">
              <w:rPr>
                <w:rFonts w:ascii="Times New Roman" w:hAnsi="Times New Roman"/>
                <w:sz w:val="22"/>
              </w:rPr>
              <w:t xml:space="preserve"> Nr.35</w:t>
            </w:r>
            <w:r>
              <w:rPr>
                <w:rFonts w:ascii="Times New Roman" w:hAnsi="Times New Roman"/>
                <w:sz w:val="22"/>
              </w:rPr>
              <w:t xml:space="preserve"> 31.1. punktu </w:t>
            </w:r>
            <w:r w:rsidRPr="00DB266F">
              <w:rPr>
                <w:rFonts w:ascii="Times New Roman" w:hAnsi="Times New Roman"/>
                <w:sz w:val="22"/>
              </w:rPr>
              <w:t xml:space="preserve">attiecināmās </w:t>
            </w:r>
            <w:r w:rsidRPr="00DB266F">
              <w:rPr>
                <w:rFonts w:ascii="Times New Roman" w:hAnsi="Times New Roman"/>
                <w:b/>
                <w:sz w:val="22"/>
              </w:rPr>
              <w:t>ir tikai ēku energoefektivitāti paaugstinošu būvdarbu izmaksas</w:t>
            </w:r>
            <w:r w:rsidRPr="00DB266F">
              <w:rPr>
                <w:rFonts w:ascii="Times New Roman" w:hAnsi="Times New Roman"/>
                <w:sz w:val="22"/>
              </w:rPr>
              <w:t xml:space="preserve">. Saskaņā ar </w:t>
            </w:r>
            <w:r w:rsidR="00C963AF">
              <w:rPr>
                <w:rFonts w:ascii="Times New Roman" w:hAnsi="Times New Roman"/>
                <w:sz w:val="22"/>
              </w:rPr>
              <w:t xml:space="preserve">jautājumā </w:t>
            </w:r>
            <w:r w:rsidRPr="00DB266F">
              <w:rPr>
                <w:rFonts w:ascii="Times New Roman" w:hAnsi="Times New Roman"/>
                <w:sz w:val="22"/>
              </w:rPr>
              <w:t xml:space="preserve">sniegto informāciju izmaksas </w:t>
            </w:r>
            <w:r w:rsidR="00C963AF">
              <w:rPr>
                <w:rFonts w:ascii="Times New Roman" w:hAnsi="Times New Roman"/>
                <w:sz w:val="22"/>
              </w:rPr>
              <w:t>ir</w:t>
            </w:r>
            <w:r w:rsidR="00C963AF" w:rsidRPr="00DB266F">
              <w:rPr>
                <w:rFonts w:ascii="Times New Roman" w:hAnsi="Times New Roman"/>
                <w:sz w:val="22"/>
              </w:rPr>
              <w:t xml:space="preserve"> </w:t>
            </w:r>
            <w:r w:rsidRPr="00DB266F">
              <w:rPr>
                <w:rFonts w:ascii="Times New Roman" w:hAnsi="Times New Roman"/>
                <w:sz w:val="22"/>
              </w:rPr>
              <w:t>jānorāda sekojoš</w:t>
            </w:r>
            <w:r w:rsidR="00C963AF">
              <w:rPr>
                <w:rFonts w:ascii="Times New Roman" w:hAnsi="Times New Roman"/>
                <w:sz w:val="22"/>
              </w:rPr>
              <w:t>ā veidā</w:t>
            </w:r>
            <w:r w:rsidRPr="00DB266F">
              <w:rPr>
                <w:rFonts w:ascii="Times New Roman" w:hAnsi="Times New Roman"/>
                <w:sz w:val="22"/>
              </w:rPr>
              <w:t>:</w:t>
            </w:r>
          </w:p>
          <w:p w14:paraId="0BF6497E" w14:textId="75F30595" w:rsidR="00672CA3" w:rsidRPr="00DB266F" w:rsidRDefault="00672CA3" w:rsidP="00672CA3">
            <w:pPr>
              <w:jc w:val="both"/>
              <w:rPr>
                <w:rFonts w:ascii="Times New Roman" w:hAnsi="Times New Roman"/>
                <w:sz w:val="22"/>
              </w:rPr>
            </w:pPr>
            <w:r w:rsidRPr="00DB266F">
              <w:rPr>
                <w:rFonts w:ascii="Times New Roman" w:hAnsi="Times New Roman"/>
                <w:sz w:val="22"/>
              </w:rPr>
              <w:t xml:space="preserve">1. </w:t>
            </w:r>
            <w:r w:rsidR="00DB266F" w:rsidRPr="00DB266F">
              <w:rPr>
                <w:rFonts w:ascii="Times New Roman" w:hAnsi="Times New Roman"/>
                <w:sz w:val="22"/>
              </w:rPr>
              <w:t>telpu siltināšanas darbi:</w:t>
            </w:r>
          </w:p>
          <w:p w14:paraId="35B61D8B" w14:textId="0D13BE5D" w:rsidR="00672CA3" w:rsidRPr="00DB266F" w:rsidRDefault="00672CA3" w:rsidP="00DB266F">
            <w:pPr>
              <w:pStyle w:val="ListParagraph"/>
              <w:numPr>
                <w:ilvl w:val="0"/>
                <w:numId w:val="2"/>
              </w:numPr>
              <w:jc w:val="both"/>
              <w:rPr>
                <w:rFonts w:ascii="Times New Roman" w:hAnsi="Times New Roman"/>
                <w:sz w:val="22"/>
              </w:rPr>
            </w:pPr>
            <w:r w:rsidRPr="00DB266F">
              <w:rPr>
                <w:rFonts w:ascii="Times New Roman" w:hAnsi="Times New Roman"/>
                <w:sz w:val="22"/>
              </w:rPr>
              <w:t>griestu karnīzes atjaunošana – attiecināmas ēkas restaurācijas darbu sadaļas ietvaros, ja griestu karnīzes ir norādītas Valsts kultūras pieminekļu aizsardzības inspekcijas atzinumā kā saglabājamais būvniecības elements</w:t>
            </w:r>
            <w:r w:rsidR="00DB266F">
              <w:rPr>
                <w:rFonts w:ascii="Times New Roman" w:hAnsi="Times New Roman"/>
                <w:sz w:val="22"/>
              </w:rPr>
              <w:t>;</w:t>
            </w:r>
          </w:p>
          <w:p w14:paraId="70DF8D7C" w14:textId="141D2742" w:rsidR="00672CA3" w:rsidRPr="00DB266F" w:rsidRDefault="00672CA3" w:rsidP="00DB266F">
            <w:pPr>
              <w:pStyle w:val="ListParagraph"/>
              <w:numPr>
                <w:ilvl w:val="0"/>
                <w:numId w:val="2"/>
              </w:numPr>
              <w:jc w:val="both"/>
              <w:rPr>
                <w:rFonts w:ascii="Times New Roman" w:hAnsi="Times New Roman"/>
                <w:sz w:val="22"/>
              </w:rPr>
            </w:pPr>
            <w:r w:rsidRPr="00DB266F">
              <w:rPr>
                <w:rFonts w:ascii="Times New Roman" w:hAnsi="Times New Roman"/>
                <w:sz w:val="22"/>
              </w:rPr>
              <w:t>logu aplodu demontāža un montāža – attiecināmas izmaksas, ja tiek mainīti logi</w:t>
            </w:r>
            <w:r w:rsidR="009A3EEA">
              <w:rPr>
                <w:rFonts w:ascii="Times New Roman" w:hAnsi="Times New Roman"/>
                <w:sz w:val="22"/>
              </w:rPr>
              <w:t xml:space="preserve"> vai ir tieši saistītas ar siltināšanu (piemēram, mainīts siltinājums gar logiem)</w:t>
            </w:r>
            <w:r w:rsidR="00DB266F">
              <w:rPr>
                <w:rFonts w:ascii="Times New Roman" w:hAnsi="Times New Roman"/>
                <w:sz w:val="22"/>
              </w:rPr>
              <w:t>;</w:t>
            </w:r>
          </w:p>
          <w:p w14:paraId="5A16D0D6" w14:textId="0528F992" w:rsidR="00672CA3" w:rsidRPr="00DB266F" w:rsidRDefault="00672CA3" w:rsidP="00DB266F">
            <w:pPr>
              <w:pStyle w:val="ListParagraph"/>
              <w:numPr>
                <w:ilvl w:val="0"/>
                <w:numId w:val="2"/>
              </w:numPr>
              <w:jc w:val="both"/>
              <w:rPr>
                <w:rFonts w:ascii="Times New Roman" w:hAnsi="Times New Roman"/>
                <w:sz w:val="22"/>
              </w:rPr>
            </w:pPr>
            <w:r w:rsidRPr="00DB266F">
              <w:rPr>
                <w:rFonts w:ascii="Times New Roman" w:hAnsi="Times New Roman"/>
                <w:sz w:val="22"/>
              </w:rPr>
              <w:t>jaunas grīdas ieklāšana – neattiecināmas izmaksas</w:t>
            </w:r>
            <w:r w:rsidR="00DB266F">
              <w:rPr>
                <w:rFonts w:ascii="Times New Roman" w:hAnsi="Times New Roman"/>
                <w:sz w:val="22"/>
              </w:rPr>
              <w:t>;</w:t>
            </w:r>
          </w:p>
          <w:p w14:paraId="205B5E05" w14:textId="3175892E" w:rsidR="00672CA3" w:rsidRPr="00DB266F" w:rsidRDefault="00672CA3" w:rsidP="00DB266F">
            <w:pPr>
              <w:pStyle w:val="ListParagraph"/>
              <w:numPr>
                <w:ilvl w:val="0"/>
                <w:numId w:val="2"/>
              </w:numPr>
              <w:jc w:val="both"/>
              <w:rPr>
                <w:rFonts w:ascii="Times New Roman" w:hAnsi="Times New Roman"/>
                <w:sz w:val="22"/>
              </w:rPr>
            </w:pPr>
            <w:r w:rsidRPr="00DB266F">
              <w:rPr>
                <w:rFonts w:ascii="Times New Roman" w:hAnsi="Times New Roman"/>
                <w:sz w:val="22"/>
              </w:rPr>
              <w:t>telpu sienu un griestu krāsošana – neattiecināmas izmaksas</w:t>
            </w:r>
            <w:r w:rsidR="009A3EEA">
              <w:rPr>
                <w:rFonts w:ascii="Times New Roman" w:hAnsi="Times New Roman"/>
                <w:sz w:val="22"/>
              </w:rPr>
              <w:t>, izņemot tās sienas, kuras tiek siltinātas (attiecināmas izmaksas ir sākotnējā stāvokļa atgriešana)</w:t>
            </w:r>
            <w:r w:rsidR="00DB266F">
              <w:rPr>
                <w:rFonts w:ascii="Times New Roman" w:hAnsi="Times New Roman"/>
                <w:sz w:val="22"/>
              </w:rPr>
              <w:t>.</w:t>
            </w:r>
          </w:p>
          <w:p w14:paraId="04E34D29" w14:textId="0FDB6291" w:rsidR="00C8107F" w:rsidRDefault="00DB266F" w:rsidP="00DB266F">
            <w:pPr>
              <w:jc w:val="both"/>
              <w:rPr>
                <w:rFonts w:ascii="Times New Roman" w:hAnsi="Times New Roman"/>
                <w:sz w:val="22"/>
              </w:rPr>
            </w:pPr>
            <w:r w:rsidRPr="00DB266F">
              <w:rPr>
                <w:rFonts w:ascii="Times New Roman" w:hAnsi="Times New Roman"/>
                <w:sz w:val="22"/>
              </w:rPr>
              <w:t>2</w:t>
            </w:r>
            <w:r w:rsidR="00672CA3" w:rsidRPr="00DB266F">
              <w:rPr>
                <w:rFonts w:ascii="Times New Roman" w:hAnsi="Times New Roman"/>
                <w:sz w:val="22"/>
              </w:rPr>
              <w:t xml:space="preserve">. </w:t>
            </w:r>
            <w:r w:rsidRPr="00DB266F">
              <w:rPr>
                <w:rFonts w:ascii="Times New Roman" w:hAnsi="Times New Roman"/>
                <w:sz w:val="22"/>
              </w:rPr>
              <w:t>Jumta seguma maiņa ēkas daļai</w:t>
            </w:r>
            <w:r w:rsidR="00DE78C4">
              <w:rPr>
                <w:rFonts w:ascii="Times New Roman" w:hAnsi="Times New Roman"/>
                <w:sz w:val="22"/>
              </w:rPr>
              <w:t>,</w:t>
            </w:r>
            <w:r w:rsidRPr="00DB266F">
              <w:rPr>
                <w:rFonts w:ascii="Times New Roman" w:hAnsi="Times New Roman"/>
                <w:sz w:val="22"/>
              </w:rPr>
              <w:t xml:space="preserve"> kur</w:t>
            </w:r>
            <w:r w:rsidR="00C963AF">
              <w:rPr>
                <w:rFonts w:ascii="Times New Roman" w:hAnsi="Times New Roman"/>
                <w:sz w:val="22"/>
              </w:rPr>
              <w:t>as ietvaros</w:t>
            </w:r>
            <w:r w:rsidRPr="00DB266F">
              <w:rPr>
                <w:rFonts w:ascii="Times New Roman" w:hAnsi="Times New Roman"/>
                <w:sz w:val="22"/>
              </w:rPr>
              <w:t xml:space="preserve"> </w:t>
            </w:r>
            <w:r w:rsidR="00C963AF">
              <w:rPr>
                <w:rFonts w:ascii="Times New Roman" w:hAnsi="Times New Roman"/>
                <w:sz w:val="22"/>
              </w:rPr>
              <w:t>neno</w:t>
            </w:r>
            <w:r w:rsidRPr="00DB266F">
              <w:rPr>
                <w:rFonts w:ascii="Times New Roman" w:hAnsi="Times New Roman"/>
                <w:sz w:val="22"/>
              </w:rPr>
              <w:t xml:space="preserve">tiek </w:t>
            </w:r>
            <w:r w:rsidR="00C963AF" w:rsidRPr="00C963AF">
              <w:rPr>
                <w:rFonts w:ascii="Times New Roman" w:hAnsi="Times New Roman"/>
                <w:sz w:val="22"/>
              </w:rPr>
              <w:t>ēku</w:t>
            </w:r>
            <w:r w:rsidR="00C963AF">
              <w:rPr>
                <w:rFonts w:ascii="Times New Roman" w:hAnsi="Times New Roman"/>
                <w:sz w:val="22"/>
              </w:rPr>
              <w:t xml:space="preserve"> energoefektivitāti paaugstinoši</w:t>
            </w:r>
            <w:r w:rsidR="00C963AF" w:rsidRPr="00C963AF">
              <w:rPr>
                <w:rFonts w:ascii="Times New Roman" w:hAnsi="Times New Roman"/>
                <w:sz w:val="22"/>
              </w:rPr>
              <w:t xml:space="preserve"> būvd</w:t>
            </w:r>
            <w:r w:rsidR="00C963AF">
              <w:rPr>
                <w:rFonts w:ascii="Times New Roman" w:hAnsi="Times New Roman"/>
                <w:sz w:val="22"/>
              </w:rPr>
              <w:t>arbi</w:t>
            </w:r>
            <w:r w:rsidR="00DE78C4">
              <w:rPr>
                <w:rFonts w:ascii="Times New Roman" w:hAnsi="Times New Roman"/>
                <w:sz w:val="22"/>
              </w:rPr>
              <w:t>,</w:t>
            </w:r>
            <w:r w:rsidR="00C963AF">
              <w:rPr>
                <w:rFonts w:ascii="Times New Roman" w:hAnsi="Times New Roman"/>
                <w:sz w:val="22"/>
              </w:rPr>
              <w:t xml:space="preserve"> ir</w:t>
            </w:r>
            <w:r w:rsidRPr="00DB266F">
              <w:rPr>
                <w:rFonts w:ascii="Times New Roman" w:hAnsi="Times New Roman"/>
                <w:sz w:val="22"/>
              </w:rPr>
              <w:t xml:space="preserve"> </w:t>
            </w:r>
            <w:r w:rsidR="00C963AF">
              <w:rPr>
                <w:rFonts w:ascii="Times New Roman" w:hAnsi="Times New Roman"/>
                <w:sz w:val="22"/>
              </w:rPr>
              <w:t>ne</w:t>
            </w:r>
            <w:r w:rsidRPr="00DB266F">
              <w:rPr>
                <w:rFonts w:ascii="Times New Roman" w:hAnsi="Times New Roman"/>
                <w:sz w:val="22"/>
              </w:rPr>
              <w:t>attiecinām</w:t>
            </w:r>
            <w:r w:rsidR="00C963AF">
              <w:rPr>
                <w:rFonts w:ascii="Times New Roman" w:hAnsi="Times New Roman"/>
                <w:sz w:val="22"/>
              </w:rPr>
              <w:t>ās</w:t>
            </w:r>
            <w:r>
              <w:rPr>
                <w:rFonts w:ascii="Times New Roman" w:hAnsi="Times New Roman"/>
                <w:sz w:val="22"/>
              </w:rPr>
              <w:t xml:space="preserve"> izmaksas</w:t>
            </w:r>
            <w:r w:rsidR="00C963AF">
              <w:rPr>
                <w:rFonts w:ascii="Times New Roman" w:hAnsi="Times New Roman"/>
                <w:sz w:val="22"/>
              </w:rPr>
              <w:t xml:space="preserve">. </w:t>
            </w:r>
          </w:p>
          <w:p w14:paraId="1C800F65" w14:textId="5BDF4165" w:rsidR="00C8107F" w:rsidRDefault="00C8107F" w:rsidP="00DB266F">
            <w:pPr>
              <w:jc w:val="both"/>
              <w:rPr>
                <w:rFonts w:ascii="Times New Roman" w:hAnsi="Times New Roman"/>
                <w:sz w:val="22"/>
              </w:rPr>
            </w:pPr>
            <w:r>
              <w:rPr>
                <w:rFonts w:ascii="Times New Roman" w:hAnsi="Times New Roman"/>
                <w:sz w:val="22"/>
              </w:rPr>
              <w:t xml:space="preserve">Savukārt, lai </w:t>
            </w:r>
            <w:r w:rsidR="00D52441">
              <w:rPr>
                <w:rFonts w:ascii="Times New Roman" w:hAnsi="Times New Roman"/>
                <w:sz w:val="22"/>
              </w:rPr>
              <w:t xml:space="preserve">būvniecības </w:t>
            </w:r>
            <w:r>
              <w:rPr>
                <w:rFonts w:ascii="Times New Roman" w:hAnsi="Times New Roman"/>
                <w:sz w:val="22"/>
              </w:rPr>
              <w:t xml:space="preserve">izmaksas par nesiltinātu jumtu tiktu iekļautas kā projekta ietvaros attiecināmās izmaksas atbilstoši </w:t>
            </w:r>
            <w:r w:rsidRPr="00C8107F">
              <w:rPr>
                <w:rFonts w:ascii="Times New Roman" w:hAnsi="Times New Roman"/>
                <w:sz w:val="22"/>
              </w:rPr>
              <w:t>MK noteikumu Nr.35</w:t>
            </w:r>
            <w:r>
              <w:rPr>
                <w:rFonts w:ascii="Times New Roman" w:hAnsi="Times New Roman"/>
                <w:sz w:val="22"/>
              </w:rPr>
              <w:t xml:space="preserve"> 31.2</w:t>
            </w:r>
            <w:r w:rsidRPr="00C8107F">
              <w:rPr>
                <w:rFonts w:ascii="Times New Roman" w:hAnsi="Times New Roman"/>
                <w:sz w:val="22"/>
              </w:rPr>
              <w:t>.</w:t>
            </w:r>
            <w:r>
              <w:rPr>
                <w:rFonts w:ascii="Times New Roman" w:hAnsi="Times New Roman"/>
                <w:sz w:val="22"/>
              </w:rPr>
              <w:t xml:space="preserve"> punktam</w:t>
            </w:r>
            <w:r w:rsidR="00D52441">
              <w:rPr>
                <w:rFonts w:ascii="Times New Roman" w:hAnsi="Times New Roman"/>
                <w:sz w:val="22"/>
              </w:rPr>
              <w:t>,</w:t>
            </w:r>
            <w:r>
              <w:rPr>
                <w:rFonts w:ascii="Times New Roman" w:hAnsi="Times New Roman"/>
                <w:sz w:val="22"/>
              </w:rPr>
              <w:t xml:space="preserve"> visa jumta nomaiņa </w:t>
            </w:r>
            <w:r w:rsidR="00D52441">
              <w:rPr>
                <w:rFonts w:ascii="Times New Roman" w:hAnsi="Times New Roman"/>
                <w:sz w:val="22"/>
              </w:rPr>
              <w:t>jāveic</w:t>
            </w:r>
            <w:r>
              <w:rPr>
                <w:rFonts w:ascii="Times New Roman" w:hAnsi="Times New Roman"/>
                <w:sz w:val="22"/>
              </w:rPr>
              <w:t xml:space="preserve"> kā komplekss risinājums</w:t>
            </w:r>
            <w:r w:rsidR="00D52441">
              <w:rPr>
                <w:rFonts w:ascii="Times New Roman" w:hAnsi="Times New Roman"/>
                <w:sz w:val="22"/>
              </w:rPr>
              <w:t>. Kompleksa risinājuma nepieciešamību projekta iesniedzējam ir jāpierāda</w:t>
            </w:r>
            <w:r>
              <w:rPr>
                <w:rFonts w:ascii="Times New Roman" w:hAnsi="Times New Roman"/>
                <w:sz w:val="22"/>
              </w:rPr>
              <w:t xml:space="preserve"> un </w:t>
            </w:r>
            <w:r w:rsidR="00E36B6F">
              <w:rPr>
                <w:rFonts w:ascii="Times New Roman" w:hAnsi="Times New Roman"/>
                <w:sz w:val="22"/>
              </w:rPr>
              <w:t xml:space="preserve">tai jābūt </w:t>
            </w:r>
            <w:r w:rsidRPr="00C8107F">
              <w:rPr>
                <w:rFonts w:ascii="Times New Roman" w:hAnsi="Times New Roman"/>
                <w:sz w:val="22"/>
              </w:rPr>
              <w:t>norādīta</w:t>
            </w:r>
            <w:r w:rsidR="00D52441">
              <w:rPr>
                <w:rFonts w:ascii="Times New Roman" w:hAnsi="Times New Roman"/>
                <w:sz w:val="22"/>
              </w:rPr>
              <w:t>i</w:t>
            </w:r>
            <w:r w:rsidRPr="00C8107F">
              <w:rPr>
                <w:rFonts w:ascii="Times New Roman" w:hAnsi="Times New Roman"/>
                <w:sz w:val="22"/>
              </w:rPr>
              <w:t xml:space="preserve"> Valsts kultūras pieminekļu aizsardzības inspekcijas atzinumā kā saglabājamais būvniecības elements</w:t>
            </w:r>
            <w:r w:rsidR="00D52441">
              <w:rPr>
                <w:rFonts w:ascii="Times New Roman" w:hAnsi="Times New Roman"/>
                <w:sz w:val="22"/>
              </w:rPr>
              <w:t>.</w:t>
            </w:r>
          </w:p>
          <w:p w14:paraId="6639D234" w14:textId="6546BB5C" w:rsidR="00672CA3" w:rsidRDefault="00DB266F" w:rsidP="00DB266F">
            <w:pPr>
              <w:jc w:val="both"/>
              <w:rPr>
                <w:rFonts w:ascii="Times New Roman" w:hAnsi="Times New Roman"/>
                <w:sz w:val="22"/>
              </w:rPr>
            </w:pPr>
            <w:r>
              <w:rPr>
                <w:rFonts w:ascii="Times New Roman" w:hAnsi="Times New Roman"/>
                <w:sz w:val="22"/>
              </w:rPr>
              <w:t xml:space="preserve">Izmaksas </w:t>
            </w:r>
            <w:r w:rsidR="00C963AF">
              <w:rPr>
                <w:rFonts w:ascii="Times New Roman" w:hAnsi="Times New Roman"/>
                <w:sz w:val="22"/>
              </w:rPr>
              <w:t>ir ne</w:t>
            </w:r>
            <w:r>
              <w:rPr>
                <w:rFonts w:ascii="Times New Roman" w:hAnsi="Times New Roman"/>
                <w:sz w:val="22"/>
              </w:rPr>
              <w:t>attiecināmas, ja jumta seguma maiņa ir saistīta tikai ar ūdens necaurlaidības nodrošināšanu</w:t>
            </w:r>
            <w:r w:rsidR="00C963AF">
              <w:rPr>
                <w:rFonts w:ascii="Times New Roman" w:hAnsi="Times New Roman"/>
                <w:sz w:val="22"/>
              </w:rPr>
              <w:t>, t.sk.,</w:t>
            </w:r>
            <w:r>
              <w:rPr>
                <w:rFonts w:ascii="Times New Roman" w:hAnsi="Times New Roman"/>
                <w:sz w:val="22"/>
              </w:rPr>
              <w:t xml:space="preserve"> arī </w:t>
            </w:r>
            <w:r w:rsidRPr="00DB266F">
              <w:rPr>
                <w:rFonts w:ascii="Times New Roman" w:hAnsi="Times New Roman"/>
                <w:sz w:val="22"/>
              </w:rPr>
              <w:t>lietusūdens tekņu un noteku sistēma</w:t>
            </w:r>
            <w:r>
              <w:rPr>
                <w:rFonts w:ascii="Times New Roman" w:hAnsi="Times New Roman"/>
                <w:sz w:val="22"/>
              </w:rPr>
              <w:t>s izveid</w:t>
            </w:r>
            <w:r w:rsidR="00D52441">
              <w:rPr>
                <w:rFonts w:ascii="Times New Roman" w:hAnsi="Times New Roman"/>
                <w:sz w:val="22"/>
              </w:rPr>
              <w:t>i</w:t>
            </w:r>
            <w:r w:rsidR="00E36B6F">
              <w:rPr>
                <w:rFonts w:ascii="Times New Roman" w:hAnsi="Times New Roman"/>
                <w:sz w:val="22"/>
              </w:rPr>
              <w:t>, bez tiešas ietekmes uz ēkas siltumnoturību un energoefektivitāti.</w:t>
            </w:r>
          </w:p>
          <w:p w14:paraId="04743119" w14:textId="5E7FAC7E" w:rsidR="00DB266F" w:rsidRDefault="00DB266F" w:rsidP="00C963AF">
            <w:pPr>
              <w:jc w:val="both"/>
              <w:rPr>
                <w:rFonts w:ascii="Times New Roman" w:hAnsi="Times New Roman"/>
                <w:sz w:val="22"/>
              </w:rPr>
            </w:pPr>
            <w:r>
              <w:rPr>
                <w:rFonts w:ascii="Times New Roman" w:hAnsi="Times New Roman"/>
                <w:sz w:val="22"/>
              </w:rPr>
              <w:t>3. Z</w:t>
            </w:r>
            <w:r w:rsidRPr="00DB266F">
              <w:rPr>
                <w:rFonts w:ascii="Times New Roman" w:hAnsi="Times New Roman"/>
                <w:sz w:val="22"/>
              </w:rPr>
              <w:t>emes virsmas planēšanas darbi, veidojot kritumu prom no ēkas</w:t>
            </w:r>
            <w:r>
              <w:rPr>
                <w:rFonts w:ascii="Times New Roman" w:hAnsi="Times New Roman"/>
                <w:sz w:val="22"/>
              </w:rPr>
              <w:t xml:space="preserve">, </w:t>
            </w:r>
            <w:r w:rsidR="00C963AF">
              <w:rPr>
                <w:rFonts w:ascii="Times New Roman" w:hAnsi="Times New Roman"/>
                <w:sz w:val="22"/>
              </w:rPr>
              <w:t>ir ne</w:t>
            </w:r>
            <w:r>
              <w:rPr>
                <w:rFonts w:ascii="Times New Roman" w:hAnsi="Times New Roman"/>
                <w:sz w:val="22"/>
              </w:rPr>
              <w:t>attiecināmas izmaksas.</w:t>
            </w:r>
            <w:r w:rsidR="00C963AF">
              <w:rPr>
                <w:rFonts w:ascii="Times New Roman" w:hAnsi="Times New Roman"/>
                <w:sz w:val="22"/>
              </w:rPr>
              <w:t xml:space="preserve"> </w:t>
            </w:r>
            <w:r w:rsidR="00DE78C4">
              <w:rPr>
                <w:rFonts w:ascii="Times New Roman" w:hAnsi="Times New Roman"/>
                <w:sz w:val="22"/>
              </w:rPr>
              <w:t>Attiecināmas ir izmaksas zemes planēšanas darbiem</w:t>
            </w:r>
            <w:proofErr w:type="gramStart"/>
            <w:r w:rsidR="00DE78C4">
              <w:rPr>
                <w:rFonts w:ascii="Times New Roman" w:hAnsi="Times New Roman"/>
                <w:sz w:val="22"/>
              </w:rPr>
              <w:t xml:space="preserve"> </w:t>
            </w:r>
            <w:r w:rsidR="005507C0">
              <w:rPr>
                <w:rFonts w:ascii="Times New Roman" w:hAnsi="Times New Roman"/>
                <w:sz w:val="22"/>
              </w:rPr>
              <w:t>cik</w:t>
            </w:r>
            <w:proofErr w:type="gramEnd"/>
            <w:r w:rsidR="005507C0">
              <w:rPr>
                <w:rFonts w:ascii="Times New Roman" w:hAnsi="Times New Roman"/>
                <w:sz w:val="22"/>
              </w:rPr>
              <w:t xml:space="preserve"> tālu šādi darbi</w:t>
            </w:r>
            <w:r w:rsidR="00DE78C4">
              <w:rPr>
                <w:rFonts w:ascii="Times New Roman" w:hAnsi="Times New Roman"/>
                <w:sz w:val="22"/>
              </w:rPr>
              <w:t xml:space="preserve"> ir tieši saistīt</w:t>
            </w:r>
            <w:r w:rsidR="005507C0">
              <w:rPr>
                <w:rFonts w:ascii="Times New Roman" w:hAnsi="Times New Roman"/>
                <w:sz w:val="22"/>
              </w:rPr>
              <w:t>i</w:t>
            </w:r>
            <w:r w:rsidR="00DE78C4">
              <w:rPr>
                <w:rFonts w:ascii="Times New Roman" w:hAnsi="Times New Roman"/>
                <w:sz w:val="22"/>
              </w:rPr>
              <w:t xml:space="preserve"> ar cokola atrakšanu, siltināšanu vai sākotnējā stāvokļa atgriešanu pēc sastatņu montāžas ēkas fasādes siltināšanai. </w:t>
            </w:r>
          </w:p>
          <w:p w14:paraId="657937BE" w14:textId="12883147" w:rsidR="00C963AF" w:rsidRPr="00672CA3" w:rsidRDefault="00C963AF" w:rsidP="00C963AF">
            <w:pPr>
              <w:jc w:val="both"/>
              <w:rPr>
                <w:rFonts w:ascii="Times New Roman" w:hAnsi="Times New Roman"/>
                <w:sz w:val="22"/>
              </w:rPr>
            </w:pPr>
            <w:r>
              <w:rPr>
                <w:rFonts w:ascii="Times New Roman" w:hAnsi="Times New Roman"/>
                <w:sz w:val="22"/>
              </w:rPr>
              <w:t xml:space="preserve">Papildus informējam, ka neattiecināmās izmaksas, kas nav saistītas ar </w:t>
            </w:r>
            <w:r w:rsidRPr="00D2014F">
              <w:rPr>
                <w:rFonts w:ascii="Times New Roman" w:hAnsi="Times New Roman"/>
                <w:sz w:val="22"/>
              </w:rPr>
              <w:t>MK noteikumu Nr.35</w:t>
            </w:r>
            <w:r>
              <w:rPr>
                <w:rFonts w:ascii="Times New Roman" w:hAnsi="Times New Roman"/>
                <w:sz w:val="22"/>
              </w:rPr>
              <w:t xml:space="preserve"> projekta ieviešanu nav jānorāda.</w:t>
            </w:r>
          </w:p>
        </w:tc>
      </w:tr>
      <w:tr w:rsidR="00D2014F" w:rsidRPr="00D2014F" w14:paraId="415790E5" w14:textId="77777777" w:rsidTr="009A3EEA">
        <w:trPr>
          <w:cantSplit/>
        </w:trPr>
        <w:tc>
          <w:tcPr>
            <w:tcW w:w="822" w:type="dxa"/>
          </w:tcPr>
          <w:p w14:paraId="0CBAD0DB" w14:textId="575E89A4" w:rsidR="00D2014F" w:rsidRPr="00D2014F" w:rsidRDefault="00D2014F" w:rsidP="00AB59BD">
            <w:pPr>
              <w:jc w:val="center"/>
              <w:rPr>
                <w:rFonts w:ascii="Times New Roman" w:hAnsi="Times New Roman"/>
                <w:sz w:val="22"/>
              </w:rPr>
            </w:pPr>
            <w:r w:rsidRPr="00D2014F">
              <w:rPr>
                <w:rFonts w:ascii="Times New Roman" w:hAnsi="Times New Roman"/>
                <w:sz w:val="22"/>
              </w:rPr>
              <w:t>9.</w:t>
            </w:r>
          </w:p>
        </w:tc>
        <w:tc>
          <w:tcPr>
            <w:tcW w:w="6719" w:type="dxa"/>
          </w:tcPr>
          <w:p w14:paraId="5CB93EC7" w14:textId="3CCDA4CC" w:rsidR="00D2014F" w:rsidRPr="00D2014F" w:rsidRDefault="00D2014F" w:rsidP="00D2014F">
            <w:pPr>
              <w:jc w:val="both"/>
              <w:rPr>
                <w:rFonts w:ascii="Times New Roman" w:hAnsi="Times New Roman"/>
                <w:sz w:val="22"/>
              </w:rPr>
            </w:pPr>
            <w:r w:rsidRPr="00D2014F">
              <w:rPr>
                <w:rFonts w:ascii="Times New Roman" w:hAnsi="Times New Roman"/>
                <w:sz w:val="22"/>
              </w:rPr>
              <w:t>Ir izstrādāts ēkas rekonstrukcijas būvprojekts, kas ietver ne tikai atklātā projektu iesniegumu konkursa "Siltumnīcefekta gāzu emisiju samazināšana valsts nozīmes aizsargājamos arhitektūras pieminekļos" ietvaros atbalstāmās aktivitātes, bet arī citus, ar ēkas energoefektivitāti tieši nesaistītus būvdarbus.</w:t>
            </w:r>
          </w:p>
          <w:p w14:paraId="49AA4769" w14:textId="77777777" w:rsidR="00D2014F" w:rsidRPr="00D2014F" w:rsidRDefault="00D2014F" w:rsidP="00D2014F">
            <w:pPr>
              <w:jc w:val="both"/>
              <w:rPr>
                <w:rFonts w:ascii="Times New Roman" w:hAnsi="Times New Roman"/>
                <w:sz w:val="22"/>
              </w:rPr>
            </w:pPr>
            <w:r w:rsidRPr="00D2014F">
              <w:rPr>
                <w:rFonts w:ascii="Times New Roman" w:hAnsi="Times New Roman"/>
                <w:sz w:val="22"/>
              </w:rPr>
              <w:t>Konkursam plānots sagatavot projekta iesniegumu, projekta kopējās izmaksās iekļaujot MK noteikumu 31.punktā noteiktās attiecināmās izmaksas, kā arī neattiecināmās izmaksas (izmaksas, kas nav tieši saistītas ar atbalstāmo aktivitāti, kas pārsniedz attiecināmo izmaksu ierobežojumus u.c.).</w:t>
            </w:r>
          </w:p>
          <w:p w14:paraId="24826F4C" w14:textId="77777777" w:rsidR="00D2014F" w:rsidRPr="00D2014F" w:rsidRDefault="00D2014F" w:rsidP="00D2014F">
            <w:pPr>
              <w:jc w:val="both"/>
              <w:rPr>
                <w:rFonts w:ascii="Times New Roman" w:hAnsi="Times New Roman"/>
                <w:sz w:val="22"/>
              </w:rPr>
            </w:pPr>
            <w:r w:rsidRPr="00D2014F">
              <w:rPr>
                <w:rFonts w:ascii="Times New Roman" w:hAnsi="Times New Roman"/>
                <w:sz w:val="22"/>
              </w:rPr>
              <w:t>Plānotās projekta kopējās, neattiecināmās un attiecināmās izmaksas tiks norādītas projekta iesnieguma sadaļā 5.1.“Projekta finansēšanas plāns” un 5.2.”Aktivitāšu izmaksu kopsavilkums”.</w:t>
            </w:r>
          </w:p>
          <w:p w14:paraId="3AF47C85" w14:textId="77777777" w:rsidR="00D2014F" w:rsidRPr="00D2014F" w:rsidRDefault="00D2014F" w:rsidP="00D2014F">
            <w:pPr>
              <w:jc w:val="both"/>
              <w:rPr>
                <w:rFonts w:ascii="Times New Roman" w:hAnsi="Times New Roman"/>
                <w:sz w:val="22"/>
              </w:rPr>
            </w:pPr>
          </w:p>
          <w:p w14:paraId="5059BFD9" w14:textId="77777777" w:rsidR="00D2014F" w:rsidRPr="00D2014F" w:rsidRDefault="00D2014F" w:rsidP="00D2014F">
            <w:pPr>
              <w:jc w:val="both"/>
              <w:rPr>
                <w:rFonts w:ascii="Times New Roman" w:hAnsi="Times New Roman"/>
                <w:sz w:val="22"/>
              </w:rPr>
            </w:pPr>
            <w:r w:rsidRPr="00D2014F">
              <w:rPr>
                <w:rFonts w:ascii="Times New Roman" w:hAnsi="Times New Roman"/>
                <w:sz w:val="22"/>
              </w:rPr>
              <w:t>Jautājumi:</w:t>
            </w:r>
          </w:p>
          <w:p w14:paraId="1E21D741" w14:textId="77777777" w:rsidR="00D2014F" w:rsidRPr="00D2014F" w:rsidRDefault="00D2014F" w:rsidP="00D2014F">
            <w:pPr>
              <w:jc w:val="both"/>
              <w:rPr>
                <w:rFonts w:ascii="Times New Roman" w:hAnsi="Times New Roman"/>
                <w:sz w:val="22"/>
              </w:rPr>
            </w:pPr>
            <w:r w:rsidRPr="00D2014F">
              <w:rPr>
                <w:rFonts w:ascii="Times New Roman" w:hAnsi="Times New Roman"/>
                <w:sz w:val="22"/>
              </w:rPr>
              <w:t>-</w:t>
            </w:r>
            <w:r w:rsidRPr="00D2014F">
              <w:rPr>
                <w:rFonts w:ascii="Times New Roman" w:hAnsi="Times New Roman"/>
                <w:sz w:val="22"/>
              </w:rPr>
              <w:tab/>
              <w:t xml:space="preserve">Sadaļā 5.2.”Aktivitāšu izmaksu kopsavilkums” projekta neattiecināmās izmaksas var norādīt vienā izmaksu pozīcijā vai jāsadala pa atsevišķām pozīcijām? </w:t>
            </w:r>
          </w:p>
          <w:p w14:paraId="75EB0825" w14:textId="134B8FEA" w:rsidR="00D2014F" w:rsidRPr="00D2014F" w:rsidRDefault="00D2014F" w:rsidP="00D2014F">
            <w:pPr>
              <w:jc w:val="both"/>
              <w:rPr>
                <w:rFonts w:ascii="Times New Roman" w:hAnsi="Times New Roman"/>
                <w:sz w:val="22"/>
              </w:rPr>
            </w:pPr>
            <w:r w:rsidRPr="00D2014F">
              <w:rPr>
                <w:rFonts w:ascii="Times New Roman" w:hAnsi="Times New Roman"/>
                <w:sz w:val="22"/>
              </w:rPr>
              <w:t>-</w:t>
            </w:r>
            <w:r w:rsidRPr="00D2014F">
              <w:rPr>
                <w:rFonts w:ascii="Times New Roman" w:hAnsi="Times New Roman"/>
                <w:sz w:val="22"/>
              </w:rPr>
              <w:tab/>
              <w:t>Saskaņā ar MK noteikumu 41.2.4.punktu papildus jāiesniedz plānoto būvdarbu izmaksu tāme projekta attiecināmām izmaksām vai kopējām izmaksām?</w:t>
            </w:r>
          </w:p>
        </w:tc>
        <w:tc>
          <w:tcPr>
            <w:tcW w:w="7085" w:type="dxa"/>
          </w:tcPr>
          <w:p w14:paraId="2C4F3EA8" w14:textId="5981D843" w:rsidR="00D2014F" w:rsidRDefault="00D52441" w:rsidP="00D2014F">
            <w:pPr>
              <w:jc w:val="both"/>
              <w:rPr>
                <w:rFonts w:ascii="Times New Roman" w:hAnsi="Times New Roman"/>
                <w:sz w:val="22"/>
              </w:rPr>
            </w:pPr>
            <w:r>
              <w:rPr>
                <w:rFonts w:ascii="Times New Roman" w:hAnsi="Times New Roman"/>
                <w:sz w:val="22"/>
              </w:rPr>
              <w:t>Norādām, ka n</w:t>
            </w:r>
            <w:r w:rsidR="00D2014F">
              <w:rPr>
                <w:rFonts w:ascii="Times New Roman" w:hAnsi="Times New Roman"/>
                <w:sz w:val="22"/>
              </w:rPr>
              <w:t xml:space="preserve">eattiecināmās izmaksas, kas nav saistītas ar </w:t>
            </w:r>
            <w:r w:rsidR="00D2014F" w:rsidRPr="00D2014F">
              <w:rPr>
                <w:rFonts w:ascii="Times New Roman" w:hAnsi="Times New Roman"/>
                <w:sz w:val="22"/>
              </w:rPr>
              <w:t>MK noteikumu Nr.35</w:t>
            </w:r>
            <w:r w:rsidR="00D2014F">
              <w:rPr>
                <w:rFonts w:ascii="Times New Roman" w:hAnsi="Times New Roman"/>
                <w:sz w:val="22"/>
              </w:rPr>
              <w:t xml:space="preserve"> projekta ieviešanu nav jānorāda.</w:t>
            </w:r>
          </w:p>
          <w:p w14:paraId="51CE238C" w14:textId="1623A57C" w:rsidR="00D2014F" w:rsidRDefault="00D52441" w:rsidP="00D2014F">
            <w:pPr>
              <w:jc w:val="both"/>
              <w:rPr>
                <w:rFonts w:ascii="Times New Roman" w:hAnsi="Times New Roman"/>
                <w:sz w:val="22"/>
              </w:rPr>
            </w:pPr>
            <w:r>
              <w:rPr>
                <w:rFonts w:ascii="Times New Roman" w:hAnsi="Times New Roman"/>
                <w:sz w:val="22"/>
              </w:rPr>
              <w:t xml:space="preserve">Savukārt neattiecināmās izmaksas, kas ir tieši saistītas ar projekta aktivitāšu īstenošanu (izmaksu pārsniegums, u.c.) ir jāsadala pa atsevišķām pozīcijām saskaņā ar </w:t>
            </w:r>
            <w:r w:rsidRPr="00D2014F">
              <w:rPr>
                <w:rFonts w:ascii="Times New Roman" w:hAnsi="Times New Roman"/>
                <w:sz w:val="22"/>
              </w:rPr>
              <w:t xml:space="preserve">MK noteikumu Nr.35 </w:t>
            </w:r>
            <w:r>
              <w:rPr>
                <w:rFonts w:ascii="Times New Roman" w:hAnsi="Times New Roman"/>
                <w:sz w:val="22"/>
              </w:rPr>
              <w:t>2. pielikuma s</w:t>
            </w:r>
            <w:r w:rsidRPr="00D2014F">
              <w:rPr>
                <w:rFonts w:ascii="Times New Roman" w:hAnsi="Times New Roman"/>
                <w:sz w:val="22"/>
              </w:rPr>
              <w:t>adaļ</w:t>
            </w:r>
            <w:r>
              <w:rPr>
                <w:rFonts w:ascii="Times New Roman" w:hAnsi="Times New Roman"/>
                <w:sz w:val="22"/>
              </w:rPr>
              <w:t>ā</w:t>
            </w:r>
            <w:r w:rsidRPr="00D2014F">
              <w:rPr>
                <w:rFonts w:ascii="Times New Roman" w:hAnsi="Times New Roman"/>
                <w:sz w:val="22"/>
              </w:rPr>
              <w:t xml:space="preserve"> 5.2.”Aktivitāšu izmaksu kopsavilkums” </w:t>
            </w:r>
            <w:r>
              <w:rPr>
                <w:rFonts w:ascii="Times New Roman" w:hAnsi="Times New Roman"/>
                <w:sz w:val="22"/>
              </w:rPr>
              <w:t>norādīto.</w:t>
            </w:r>
          </w:p>
          <w:p w14:paraId="54A4622F" w14:textId="567140C2" w:rsidR="00D2014F" w:rsidRPr="00D2014F" w:rsidRDefault="00D2014F" w:rsidP="00D2014F">
            <w:pPr>
              <w:jc w:val="both"/>
              <w:rPr>
                <w:rFonts w:ascii="Times New Roman" w:hAnsi="Times New Roman"/>
                <w:sz w:val="22"/>
              </w:rPr>
            </w:pPr>
            <w:r>
              <w:rPr>
                <w:rFonts w:ascii="Times New Roman" w:hAnsi="Times New Roman"/>
                <w:sz w:val="22"/>
              </w:rPr>
              <w:t>B</w:t>
            </w:r>
            <w:r w:rsidRPr="00D2014F">
              <w:rPr>
                <w:rFonts w:ascii="Times New Roman" w:hAnsi="Times New Roman"/>
                <w:sz w:val="22"/>
              </w:rPr>
              <w:t>ūvdarbu izmaksu tāme</w:t>
            </w:r>
            <w:r>
              <w:rPr>
                <w:rFonts w:ascii="Times New Roman" w:hAnsi="Times New Roman"/>
                <w:sz w:val="22"/>
              </w:rPr>
              <w:t xml:space="preserve"> ir jāiesniedz par visām izmaksām, kas norādītas </w:t>
            </w:r>
            <w:r w:rsidRPr="00D2014F">
              <w:rPr>
                <w:rFonts w:ascii="Times New Roman" w:hAnsi="Times New Roman"/>
                <w:sz w:val="22"/>
              </w:rPr>
              <w:t>sadaļā 5.2.”Aktivitāšu izmaksu kopsavilkums”</w:t>
            </w:r>
            <w:r>
              <w:rPr>
                <w:rFonts w:ascii="Times New Roman" w:hAnsi="Times New Roman"/>
                <w:sz w:val="22"/>
              </w:rPr>
              <w:t>.</w:t>
            </w:r>
          </w:p>
        </w:tc>
      </w:tr>
      <w:tr w:rsidR="00E643A9" w:rsidRPr="00E643A9" w14:paraId="61EBE6FD" w14:textId="77777777" w:rsidTr="009A3EEA">
        <w:trPr>
          <w:cantSplit/>
        </w:trPr>
        <w:tc>
          <w:tcPr>
            <w:tcW w:w="822" w:type="dxa"/>
          </w:tcPr>
          <w:p w14:paraId="506E1F64" w14:textId="67FACA09" w:rsidR="00E643A9" w:rsidRPr="00E643A9" w:rsidRDefault="00E643A9" w:rsidP="00AB59BD">
            <w:pPr>
              <w:jc w:val="center"/>
              <w:rPr>
                <w:rFonts w:ascii="Times New Roman" w:hAnsi="Times New Roman"/>
                <w:sz w:val="22"/>
              </w:rPr>
            </w:pPr>
            <w:r w:rsidRPr="00E643A9">
              <w:rPr>
                <w:rFonts w:ascii="Times New Roman" w:hAnsi="Times New Roman"/>
                <w:sz w:val="22"/>
              </w:rPr>
              <w:t>10.</w:t>
            </w:r>
          </w:p>
        </w:tc>
        <w:tc>
          <w:tcPr>
            <w:tcW w:w="6719" w:type="dxa"/>
          </w:tcPr>
          <w:p w14:paraId="2BB73198" w14:textId="76E1A828" w:rsidR="00E643A9" w:rsidRPr="00E643A9" w:rsidRDefault="00E643A9" w:rsidP="00E643A9">
            <w:pPr>
              <w:jc w:val="both"/>
              <w:rPr>
                <w:rFonts w:ascii="Times New Roman" w:hAnsi="Times New Roman"/>
              </w:rPr>
            </w:pPr>
            <w:r w:rsidRPr="00E643A9">
              <w:rPr>
                <w:rFonts w:ascii="Times New Roman" w:hAnsi="Times New Roman"/>
                <w:sz w:val="22"/>
              </w:rPr>
              <w:t>Vai projekta iesnieguma veidlapā, 4.Sadaļā – publicitāte, 4.1. un 4.2., ir jānorāda informācija tikai par projekta īstenošanas laikā plānotajiem pasākumiem? Mums ir plānoti arī tādi publicitātes pasākumi, kas būs īstenojami tikai pēc projektu īstenošanas, lai piesaistītu starptautiskus apmeklētājus objektam, arī šajos publicitātes pasākumos ir plānotas norādes par EKII finansējumu projekta apstiprināšanas gadījumā. Vai arī šos pasākumus varam parādīt 4.1. un 4.2. sadaļās?</w:t>
            </w:r>
          </w:p>
        </w:tc>
        <w:tc>
          <w:tcPr>
            <w:tcW w:w="7085" w:type="dxa"/>
          </w:tcPr>
          <w:p w14:paraId="2DF66E22" w14:textId="1D8CF693" w:rsidR="00E643A9" w:rsidRPr="00E643A9" w:rsidRDefault="00E643A9" w:rsidP="00E36B6F">
            <w:pPr>
              <w:jc w:val="both"/>
              <w:rPr>
                <w:rFonts w:ascii="Times New Roman" w:hAnsi="Times New Roman"/>
                <w:sz w:val="22"/>
              </w:rPr>
            </w:pPr>
            <w:r>
              <w:rPr>
                <w:rFonts w:ascii="Times New Roman" w:hAnsi="Times New Roman"/>
                <w:sz w:val="22"/>
              </w:rPr>
              <w:t>P</w:t>
            </w:r>
            <w:r w:rsidRPr="00E643A9">
              <w:rPr>
                <w:rFonts w:ascii="Times New Roman" w:hAnsi="Times New Roman"/>
                <w:sz w:val="22"/>
              </w:rPr>
              <w:t>rojekta iesnieguma veidlapā</w:t>
            </w:r>
            <w:r>
              <w:rPr>
                <w:rFonts w:ascii="Times New Roman" w:hAnsi="Times New Roman"/>
                <w:sz w:val="22"/>
              </w:rPr>
              <w:t xml:space="preserve"> </w:t>
            </w:r>
            <w:r w:rsidRPr="00E643A9">
              <w:rPr>
                <w:rFonts w:ascii="Times New Roman" w:hAnsi="Times New Roman"/>
                <w:sz w:val="22"/>
              </w:rPr>
              <w:t>4.1.</w:t>
            </w:r>
            <w:r>
              <w:rPr>
                <w:rFonts w:ascii="Times New Roman" w:hAnsi="Times New Roman"/>
                <w:sz w:val="22"/>
              </w:rPr>
              <w:t xml:space="preserve"> sadaļā</w:t>
            </w:r>
            <w:r w:rsidRPr="00E643A9">
              <w:rPr>
                <w:rFonts w:ascii="Times New Roman" w:hAnsi="Times New Roman"/>
                <w:sz w:val="22"/>
              </w:rPr>
              <w:t xml:space="preserve"> </w:t>
            </w:r>
            <w:r w:rsidR="00D52441">
              <w:rPr>
                <w:rFonts w:ascii="Times New Roman" w:hAnsi="Times New Roman"/>
                <w:sz w:val="22"/>
              </w:rPr>
              <w:t>“</w:t>
            </w:r>
            <w:r w:rsidRPr="00E643A9">
              <w:rPr>
                <w:rFonts w:ascii="Times New Roman" w:hAnsi="Times New Roman"/>
                <w:sz w:val="22"/>
              </w:rPr>
              <w:t>Publicitātes un demonstrēšanas pasākumu veidi</w:t>
            </w:r>
            <w:r w:rsidR="00D52441">
              <w:rPr>
                <w:rFonts w:ascii="Times New Roman" w:hAnsi="Times New Roman"/>
                <w:sz w:val="22"/>
              </w:rPr>
              <w:t>”</w:t>
            </w:r>
            <w:r w:rsidRPr="00E643A9">
              <w:rPr>
                <w:rFonts w:ascii="Times New Roman" w:hAnsi="Times New Roman"/>
                <w:sz w:val="22"/>
              </w:rPr>
              <w:t xml:space="preserve"> </w:t>
            </w:r>
            <w:r>
              <w:rPr>
                <w:rFonts w:ascii="Times New Roman" w:hAnsi="Times New Roman"/>
                <w:sz w:val="22"/>
              </w:rPr>
              <w:t>varat norādīt plānotos publicitātes pasākumus</w:t>
            </w:r>
            <w:r w:rsidR="00E36B6F">
              <w:rPr>
                <w:rFonts w:ascii="Times New Roman" w:hAnsi="Times New Roman"/>
                <w:sz w:val="22"/>
              </w:rPr>
              <w:t xml:space="preserve"> arī</w:t>
            </w:r>
            <w:r>
              <w:rPr>
                <w:rFonts w:ascii="Times New Roman" w:hAnsi="Times New Roman"/>
                <w:sz w:val="22"/>
              </w:rPr>
              <w:t xml:space="preserve"> pēc</w:t>
            </w:r>
            <w:r w:rsidR="00E36B6F">
              <w:rPr>
                <w:rFonts w:ascii="Times New Roman" w:hAnsi="Times New Roman"/>
                <w:sz w:val="22"/>
              </w:rPr>
              <w:t xml:space="preserve"> projekta pabeigšanas un pēc projekta</w:t>
            </w:r>
            <w:r>
              <w:rPr>
                <w:rFonts w:ascii="Times New Roman" w:hAnsi="Times New Roman"/>
                <w:sz w:val="22"/>
              </w:rPr>
              <w:t xml:space="preserve"> </w:t>
            </w:r>
            <w:r w:rsidR="007925A1">
              <w:rPr>
                <w:rFonts w:ascii="Times New Roman" w:hAnsi="Times New Roman"/>
                <w:sz w:val="22"/>
              </w:rPr>
              <w:t xml:space="preserve">5 gadu </w:t>
            </w:r>
            <w:r w:rsidR="00E36B6F">
              <w:rPr>
                <w:rFonts w:ascii="Times New Roman" w:hAnsi="Times New Roman"/>
                <w:sz w:val="22"/>
              </w:rPr>
              <w:t>monitoringa perioda</w:t>
            </w:r>
            <w:r w:rsidR="007925A1">
              <w:rPr>
                <w:rFonts w:ascii="Times New Roman" w:hAnsi="Times New Roman"/>
                <w:sz w:val="22"/>
              </w:rPr>
              <w:t xml:space="preserve"> </w:t>
            </w:r>
            <w:r w:rsidR="00E36B6F">
              <w:rPr>
                <w:rFonts w:ascii="Times New Roman" w:hAnsi="Times New Roman"/>
                <w:sz w:val="22"/>
              </w:rPr>
              <w:t>beigām</w:t>
            </w:r>
            <w:r w:rsidR="00DA67F5">
              <w:rPr>
                <w:rFonts w:ascii="Times New Roman" w:hAnsi="Times New Roman"/>
                <w:sz w:val="22"/>
              </w:rPr>
              <w:t>, taču projekta iesnieguma kvalitātes vērtējumā tiks ņemti vērā tikai tie publicitātes pasākumi, kas tiks īstenoti projekta īstenošanas</w:t>
            </w:r>
            <w:r w:rsidR="007925A1">
              <w:rPr>
                <w:rFonts w:ascii="Times New Roman" w:hAnsi="Times New Roman"/>
                <w:sz w:val="22"/>
              </w:rPr>
              <w:t xml:space="preserve"> laikā un </w:t>
            </w:r>
            <w:r w:rsidR="00E36B6F">
              <w:rPr>
                <w:rFonts w:ascii="Times New Roman" w:hAnsi="Times New Roman"/>
                <w:sz w:val="22"/>
              </w:rPr>
              <w:t>projekta 5 gadu monitoringa perioda laikā. Lūdzam ņemt vērā MK noteikumu Nr.35 71. un 72.punktā noteiktās obligātās publicitātes prasības, kuras</w:t>
            </w:r>
            <w:r w:rsidR="00DE78C4">
              <w:rPr>
                <w:rFonts w:ascii="Times New Roman" w:hAnsi="Times New Roman"/>
                <w:sz w:val="22"/>
              </w:rPr>
              <w:t>,</w:t>
            </w:r>
            <w:r w:rsidR="00E36B6F">
              <w:rPr>
                <w:rFonts w:ascii="Times New Roman" w:hAnsi="Times New Roman"/>
                <w:sz w:val="22"/>
              </w:rPr>
              <w:t xml:space="preserve"> atbilstoši minēto punktu prasībām</w:t>
            </w:r>
            <w:r w:rsidR="00DE78C4">
              <w:rPr>
                <w:rFonts w:ascii="Times New Roman" w:hAnsi="Times New Roman"/>
                <w:sz w:val="22"/>
              </w:rPr>
              <w:t>,</w:t>
            </w:r>
            <w:r w:rsidR="00E36B6F">
              <w:rPr>
                <w:rFonts w:ascii="Times New Roman" w:hAnsi="Times New Roman"/>
                <w:sz w:val="22"/>
              </w:rPr>
              <w:t xml:space="preserve"> vismaz minimālā apjomā, jānorāda arī attiecīgajās projekta iesnieguma veidlapas sadaļās.</w:t>
            </w:r>
          </w:p>
        </w:tc>
      </w:tr>
      <w:tr w:rsidR="008737D5" w:rsidRPr="008737D5" w14:paraId="68EF7320" w14:textId="77777777" w:rsidTr="009A3EEA">
        <w:trPr>
          <w:cantSplit/>
        </w:trPr>
        <w:tc>
          <w:tcPr>
            <w:tcW w:w="822" w:type="dxa"/>
          </w:tcPr>
          <w:p w14:paraId="2FA171C1" w14:textId="45206EF0" w:rsidR="008737D5" w:rsidRPr="008737D5" w:rsidRDefault="008737D5" w:rsidP="00AB59BD">
            <w:pPr>
              <w:jc w:val="center"/>
              <w:rPr>
                <w:rFonts w:ascii="Times New Roman" w:hAnsi="Times New Roman"/>
                <w:sz w:val="22"/>
              </w:rPr>
            </w:pPr>
            <w:r w:rsidRPr="008737D5">
              <w:rPr>
                <w:rFonts w:ascii="Times New Roman" w:hAnsi="Times New Roman"/>
                <w:sz w:val="22"/>
              </w:rPr>
              <w:t>1</w:t>
            </w:r>
            <w:bookmarkStart w:id="9" w:name="_GoBack"/>
            <w:bookmarkEnd w:id="9"/>
            <w:r w:rsidRPr="008737D5">
              <w:rPr>
                <w:rFonts w:ascii="Times New Roman" w:hAnsi="Times New Roman"/>
                <w:sz w:val="22"/>
              </w:rPr>
              <w:t>1.</w:t>
            </w:r>
          </w:p>
        </w:tc>
        <w:tc>
          <w:tcPr>
            <w:tcW w:w="6719" w:type="dxa"/>
          </w:tcPr>
          <w:p w14:paraId="5F95B714" w14:textId="6EEB1257" w:rsidR="008737D5" w:rsidRPr="008737D5" w:rsidRDefault="008737D5" w:rsidP="00E643A9">
            <w:pPr>
              <w:jc w:val="both"/>
              <w:rPr>
                <w:rFonts w:ascii="Times New Roman" w:hAnsi="Times New Roman"/>
                <w:sz w:val="22"/>
              </w:rPr>
            </w:pPr>
            <w:r w:rsidRPr="008737D5">
              <w:rPr>
                <w:rFonts w:ascii="Times New Roman" w:hAnsi="Times New Roman"/>
                <w:sz w:val="22"/>
              </w:rPr>
              <w:t xml:space="preserve">Vai projektu iesniedzot </w:t>
            </w:r>
            <w:proofErr w:type="spellStart"/>
            <w:r w:rsidRPr="008737D5">
              <w:rPr>
                <w:rFonts w:ascii="Times New Roman" w:hAnsi="Times New Roman"/>
                <w:sz w:val="22"/>
              </w:rPr>
              <w:t>energosertifikātam</w:t>
            </w:r>
            <w:proofErr w:type="spellEnd"/>
            <w:r w:rsidRPr="008737D5">
              <w:rPr>
                <w:rFonts w:ascii="Times New Roman" w:hAnsi="Times New Roman"/>
                <w:sz w:val="22"/>
              </w:rPr>
              <w:t xml:space="preserve"> ir jābūt reģistrētam https://bis.gov.lv/bisp/ "Ēku energosertifikātu reģistrā"?</w:t>
            </w:r>
          </w:p>
        </w:tc>
        <w:tc>
          <w:tcPr>
            <w:tcW w:w="7085" w:type="dxa"/>
          </w:tcPr>
          <w:p w14:paraId="0D9D5C6D" w14:textId="293C5AB2" w:rsidR="008737D5" w:rsidRPr="008737D5" w:rsidRDefault="008737D5" w:rsidP="00C43A15">
            <w:pPr>
              <w:jc w:val="both"/>
              <w:rPr>
                <w:rFonts w:ascii="Times New Roman" w:hAnsi="Times New Roman"/>
                <w:sz w:val="22"/>
              </w:rPr>
            </w:pPr>
            <w:r>
              <w:rPr>
                <w:rFonts w:ascii="Times New Roman" w:hAnsi="Times New Roman"/>
                <w:sz w:val="22"/>
              </w:rPr>
              <w:t>A</w:t>
            </w:r>
            <w:r w:rsidRPr="008737D5">
              <w:rPr>
                <w:rFonts w:ascii="Times New Roman" w:hAnsi="Times New Roman"/>
                <w:sz w:val="22"/>
              </w:rPr>
              <w:t>tbilstoš</w:t>
            </w:r>
            <w:r>
              <w:rPr>
                <w:rFonts w:ascii="Times New Roman" w:hAnsi="Times New Roman"/>
                <w:sz w:val="22"/>
              </w:rPr>
              <w:t>i</w:t>
            </w:r>
            <w:r w:rsidRPr="008737D5">
              <w:rPr>
                <w:rFonts w:ascii="Times New Roman" w:hAnsi="Times New Roman"/>
                <w:sz w:val="22"/>
              </w:rPr>
              <w:t xml:space="preserve"> Ministru kabineta noteikum</w:t>
            </w:r>
            <w:r>
              <w:rPr>
                <w:rFonts w:ascii="Times New Roman" w:hAnsi="Times New Roman"/>
                <w:sz w:val="22"/>
              </w:rPr>
              <w:t>u</w:t>
            </w:r>
            <w:r w:rsidRPr="008737D5">
              <w:rPr>
                <w:rFonts w:ascii="Times New Roman" w:hAnsi="Times New Roman"/>
                <w:sz w:val="22"/>
              </w:rPr>
              <w:t xml:space="preserve"> Nr.383</w:t>
            </w:r>
            <w:r>
              <w:rPr>
                <w:rFonts w:ascii="Times New Roman" w:hAnsi="Times New Roman"/>
                <w:sz w:val="22"/>
              </w:rPr>
              <w:t xml:space="preserve"> “</w:t>
            </w:r>
            <w:r w:rsidRPr="008737D5">
              <w:rPr>
                <w:rFonts w:ascii="Times New Roman" w:hAnsi="Times New Roman"/>
                <w:sz w:val="22"/>
              </w:rPr>
              <w:t xml:space="preserve">Noteikumi par ēku </w:t>
            </w:r>
            <w:proofErr w:type="spellStart"/>
            <w:r w:rsidRPr="008737D5">
              <w:rPr>
                <w:rFonts w:ascii="Times New Roman" w:hAnsi="Times New Roman"/>
                <w:sz w:val="22"/>
              </w:rPr>
              <w:t>energosertifikāciju</w:t>
            </w:r>
            <w:proofErr w:type="spellEnd"/>
            <w:r>
              <w:rPr>
                <w:rFonts w:ascii="Times New Roman" w:hAnsi="Times New Roman"/>
                <w:sz w:val="22"/>
              </w:rPr>
              <w:t>” 31. pantam sp</w:t>
            </w:r>
            <w:r w:rsidRPr="008737D5">
              <w:rPr>
                <w:rFonts w:ascii="Times New Roman" w:hAnsi="Times New Roman"/>
                <w:sz w:val="22"/>
              </w:rPr>
              <w:t xml:space="preserve">ēkā esošus ēku </w:t>
            </w:r>
            <w:proofErr w:type="spellStart"/>
            <w:r w:rsidRPr="008737D5">
              <w:rPr>
                <w:rFonts w:ascii="Times New Roman" w:hAnsi="Times New Roman"/>
                <w:sz w:val="22"/>
              </w:rPr>
              <w:t>energosertifikātus</w:t>
            </w:r>
            <w:proofErr w:type="spellEnd"/>
            <w:r w:rsidRPr="008737D5">
              <w:rPr>
                <w:rFonts w:ascii="Times New Roman" w:hAnsi="Times New Roman"/>
                <w:sz w:val="22"/>
              </w:rPr>
              <w:t xml:space="preserve"> un pagaidu </w:t>
            </w:r>
            <w:proofErr w:type="spellStart"/>
            <w:r w:rsidRPr="008737D5">
              <w:rPr>
                <w:rFonts w:ascii="Times New Roman" w:hAnsi="Times New Roman"/>
                <w:sz w:val="22"/>
              </w:rPr>
              <w:t>energosertifikātus</w:t>
            </w:r>
            <w:proofErr w:type="spellEnd"/>
            <w:r w:rsidRPr="008737D5">
              <w:rPr>
                <w:rFonts w:ascii="Times New Roman" w:hAnsi="Times New Roman"/>
                <w:sz w:val="22"/>
              </w:rPr>
              <w:t>, kas izsniegti līdz 2015. gada 31. decembrim, neatkarīgs eksperts reģistrē ēku energosertifikātu reģistrā līdz 2016. gada 30. jūnijam</w:t>
            </w:r>
            <w:r w:rsidR="00C43A15">
              <w:rPr>
                <w:rFonts w:ascii="Times New Roman" w:hAnsi="Times New Roman"/>
                <w:sz w:val="22"/>
              </w:rPr>
              <w:t>, tādejādi</w:t>
            </w:r>
            <w:r w:rsidR="00762960">
              <w:rPr>
                <w:rFonts w:ascii="Times New Roman" w:hAnsi="Times New Roman"/>
                <w:sz w:val="22"/>
              </w:rPr>
              <w:t>,</w:t>
            </w:r>
            <w:r w:rsidR="00C43A15">
              <w:rPr>
                <w:rFonts w:ascii="Times New Roman" w:hAnsi="Times New Roman"/>
                <w:sz w:val="22"/>
              </w:rPr>
              <w:t xml:space="preserve"> iesniedzot projektu</w:t>
            </w:r>
            <w:r w:rsidR="00762960">
              <w:rPr>
                <w:rFonts w:ascii="Times New Roman" w:hAnsi="Times New Roman"/>
                <w:sz w:val="22"/>
              </w:rPr>
              <w:t>,</w:t>
            </w:r>
            <w:r w:rsidR="00C43A15">
              <w:rPr>
                <w:rFonts w:ascii="Times New Roman" w:hAnsi="Times New Roman"/>
                <w:sz w:val="22"/>
              </w:rPr>
              <w:t xml:space="preserve"> </w:t>
            </w:r>
            <w:proofErr w:type="spellStart"/>
            <w:r w:rsidR="00C43A15">
              <w:rPr>
                <w:rFonts w:ascii="Times New Roman" w:hAnsi="Times New Roman"/>
                <w:sz w:val="22"/>
              </w:rPr>
              <w:t>energosertifikātam</w:t>
            </w:r>
            <w:proofErr w:type="spellEnd"/>
            <w:r w:rsidR="00C43A15">
              <w:rPr>
                <w:rFonts w:ascii="Times New Roman" w:hAnsi="Times New Roman"/>
                <w:sz w:val="22"/>
              </w:rPr>
              <w:t xml:space="preserve"> nav jābūt obligāti reģistrētam.</w:t>
            </w:r>
          </w:p>
        </w:tc>
      </w:tr>
      <w:tr w:rsidR="008737D5" w:rsidRPr="008737D5" w14:paraId="0D4DFA93" w14:textId="77777777" w:rsidTr="009A3EEA">
        <w:trPr>
          <w:cantSplit/>
        </w:trPr>
        <w:tc>
          <w:tcPr>
            <w:tcW w:w="822" w:type="dxa"/>
          </w:tcPr>
          <w:p w14:paraId="4657640E" w14:textId="03929679" w:rsidR="008737D5" w:rsidRPr="008737D5" w:rsidRDefault="008737D5" w:rsidP="00AB59BD">
            <w:pPr>
              <w:jc w:val="center"/>
              <w:rPr>
                <w:rFonts w:ascii="Times New Roman" w:hAnsi="Times New Roman"/>
                <w:sz w:val="22"/>
              </w:rPr>
            </w:pPr>
            <w:r w:rsidRPr="008737D5">
              <w:rPr>
                <w:rFonts w:ascii="Times New Roman" w:hAnsi="Times New Roman"/>
                <w:sz w:val="22"/>
              </w:rPr>
              <w:t>12.</w:t>
            </w:r>
          </w:p>
        </w:tc>
        <w:tc>
          <w:tcPr>
            <w:tcW w:w="6719" w:type="dxa"/>
          </w:tcPr>
          <w:p w14:paraId="21A652D7" w14:textId="114B1936" w:rsidR="008737D5" w:rsidRPr="008737D5" w:rsidRDefault="008737D5" w:rsidP="00E643A9">
            <w:pPr>
              <w:jc w:val="both"/>
              <w:rPr>
                <w:rFonts w:ascii="Times New Roman" w:hAnsi="Times New Roman"/>
                <w:sz w:val="22"/>
              </w:rPr>
            </w:pPr>
            <w:r w:rsidRPr="008737D5">
              <w:rPr>
                <w:rFonts w:ascii="Times New Roman" w:hAnsi="Times New Roman"/>
                <w:sz w:val="22"/>
              </w:rPr>
              <w:t xml:space="preserve">Pēc noteikumiem auditam ir jāpievieno ēkas </w:t>
            </w:r>
            <w:proofErr w:type="spellStart"/>
            <w:r w:rsidRPr="008737D5">
              <w:rPr>
                <w:rFonts w:ascii="Times New Roman" w:hAnsi="Times New Roman"/>
                <w:sz w:val="22"/>
              </w:rPr>
              <w:t>energosertifikāts</w:t>
            </w:r>
            <w:proofErr w:type="spellEnd"/>
            <w:r w:rsidRPr="008737D5">
              <w:rPr>
                <w:rFonts w:ascii="Times New Roman" w:hAnsi="Times New Roman"/>
                <w:sz w:val="22"/>
              </w:rPr>
              <w:t>, kas ir atbilstošs Ministru kabineta noteikumi</w:t>
            </w:r>
            <w:r w:rsidR="00C43A15">
              <w:rPr>
                <w:rFonts w:ascii="Times New Roman" w:hAnsi="Times New Roman"/>
                <w:sz w:val="22"/>
              </w:rPr>
              <w:t>em</w:t>
            </w:r>
            <w:r w:rsidRPr="008737D5">
              <w:rPr>
                <w:rFonts w:ascii="Times New Roman" w:hAnsi="Times New Roman"/>
                <w:sz w:val="22"/>
              </w:rPr>
              <w:t xml:space="preserve"> Nr.383 Noteikumi par ēku </w:t>
            </w:r>
            <w:proofErr w:type="spellStart"/>
            <w:r w:rsidRPr="008737D5">
              <w:rPr>
                <w:rFonts w:ascii="Times New Roman" w:hAnsi="Times New Roman"/>
                <w:sz w:val="22"/>
              </w:rPr>
              <w:t>energosertifikāciju</w:t>
            </w:r>
            <w:proofErr w:type="spellEnd"/>
            <w:r w:rsidRPr="008737D5">
              <w:rPr>
                <w:rFonts w:ascii="Times New Roman" w:hAnsi="Times New Roman"/>
                <w:sz w:val="22"/>
              </w:rPr>
              <w:t xml:space="preserve"> 1. pielikumam? Vai ir nepieciešams pievienot arī</w:t>
            </w:r>
            <w:proofErr w:type="gramStart"/>
            <w:r w:rsidRPr="008737D5">
              <w:rPr>
                <w:rFonts w:ascii="Times New Roman" w:hAnsi="Times New Roman"/>
                <w:sz w:val="22"/>
              </w:rPr>
              <w:t xml:space="preserve">   </w:t>
            </w:r>
            <w:proofErr w:type="gramEnd"/>
            <w:r w:rsidRPr="008737D5">
              <w:rPr>
                <w:rFonts w:ascii="Times New Roman" w:hAnsi="Times New Roman"/>
                <w:sz w:val="22"/>
              </w:rPr>
              <w:t xml:space="preserve">Ministru kabineta noteikumi Nr.383 Noteikumi par ēku </w:t>
            </w:r>
            <w:proofErr w:type="spellStart"/>
            <w:r w:rsidRPr="008737D5">
              <w:rPr>
                <w:rFonts w:ascii="Times New Roman" w:hAnsi="Times New Roman"/>
                <w:sz w:val="22"/>
              </w:rPr>
              <w:t>energosertifikāciju</w:t>
            </w:r>
            <w:proofErr w:type="spellEnd"/>
            <w:r w:rsidRPr="008737D5">
              <w:rPr>
                <w:rFonts w:ascii="Times New Roman" w:hAnsi="Times New Roman"/>
                <w:sz w:val="22"/>
              </w:rPr>
              <w:t xml:space="preserve"> 3. pielikumu?</w:t>
            </w:r>
          </w:p>
        </w:tc>
        <w:tc>
          <w:tcPr>
            <w:tcW w:w="7085" w:type="dxa"/>
          </w:tcPr>
          <w:p w14:paraId="04C4CF36" w14:textId="50135F22" w:rsidR="008737D5" w:rsidRPr="008737D5" w:rsidRDefault="00C43A15" w:rsidP="00762960">
            <w:pPr>
              <w:jc w:val="both"/>
              <w:rPr>
                <w:rFonts w:ascii="Times New Roman" w:hAnsi="Times New Roman"/>
                <w:sz w:val="22"/>
              </w:rPr>
            </w:pPr>
            <w:r>
              <w:rPr>
                <w:rFonts w:ascii="Times New Roman" w:hAnsi="Times New Roman"/>
                <w:sz w:val="22"/>
              </w:rPr>
              <w:t xml:space="preserve">Ja kopā ar projekta iesniegumu iesniedz </w:t>
            </w:r>
            <w:r w:rsidRPr="00C43A15">
              <w:rPr>
                <w:rFonts w:ascii="Times New Roman" w:hAnsi="Times New Roman"/>
                <w:sz w:val="22"/>
              </w:rPr>
              <w:t>MK noteikum</w:t>
            </w:r>
            <w:r>
              <w:rPr>
                <w:rFonts w:ascii="Times New Roman" w:hAnsi="Times New Roman"/>
                <w:sz w:val="22"/>
              </w:rPr>
              <w:t>u</w:t>
            </w:r>
            <w:r w:rsidRPr="00C43A15">
              <w:rPr>
                <w:rFonts w:ascii="Times New Roman" w:hAnsi="Times New Roman"/>
                <w:sz w:val="22"/>
              </w:rPr>
              <w:t xml:space="preserve"> Nr.35</w:t>
            </w:r>
            <w:r>
              <w:rPr>
                <w:rFonts w:ascii="Times New Roman" w:hAnsi="Times New Roman"/>
                <w:sz w:val="22"/>
              </w:rPr>
              <w:t xml:space="preserve"> 1. pielikumu, tad </w:t>
            </w:r>
            <w:r w:rsidRPr="00C43A15">
              <w:rPr>
                <w:rFonts w:ascii="Times New Roman" w:hAnsi="Times New Roman"/>
                <w:sz w:val="22"/>
              </w:rPr>
              <w:t xml:space="preserve">Ministru kabineta noteikumu Nr.383 “Noteikumi par ēku </w:t>
            </w:r>
            <w:proofErr w:type="spellStart"/>
            <w:r w:rsidRPr="00C43A15">
              <w:rPr>
                <w:rFonts w:ascii="Times New Roman" w:hAnsi="Times New Roman"/>
                <w:sz w:val="22"/>
              </w:rPr>
              <w:t>energosertifikāciju</w:t>
            </w:r>
            <w:proofErr w:type="spellEnd"/>
            <w:r w:rsidRPr="00C43A15">
              <w:rPr>
                <w:rFonts w:ascii="Times New Roman" w:hAnsi="Times New Roman"/>
                <w:sz w:val="22"/>
              </w:rPr>
              <w:t>”</w:t>
            </w:r>
            <w:r w:rsidR="00762960">
              <w:rPr>
                <w:rFonts w:ascii="Times New Roman" w:hAnsi="Times New Roman"/>
                <w:sz w:val="22"/>
              </w:rPr>
              <w:t xml:space="preserve"> 3. pielikums nav nepieciešams pievienot.</w:t>
            </w:r>
          </w:p>
        </w:tc>
      </w:tr>
    </w:tbl>
    <w:p w14:paraId="70F92F1B" w14:textId="6B23D8FE" w:rsidR="00AB59BD" w:rsidRPr="00B3390A" w:rsidRDefault="00AB59BD" w:rsidP="00AB59BD"/>
    <w:p w14:paraId="22910EFA" w14:textId="77777777" w:rsidR="00A26A07" w:rsidRDefault="00A26A07"/>
    <w:sectPr w:rsidR="00A26A07" w:rsidSect="00AB59BD">
      <w:headerReference w:type="default" r:id="rId1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D2059" w14:textId="77777777" w:rsidR="003315D4" w:rsidRDefault="003315D4" w:rsidP="00AB59BD">
      <w:r>
        <w:separator/>
      </w:r>
    </w:p>
  </w:endnote>
  <w:endnote w:type="continuationSeparator" w:id="0">
    <w:p w14:paraId="20CBD96B" w14:textId="77777777" w:rsidR="003315D4" w:rsidRDefault="003315D4" w:rsidP="00AB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BA7EF" w14:textId="77777777" w:rsidR="003315D4" w:rsidRDefault="003315D4" w:rsidP="00AB59BD">
      <w:r>
        <w:separator/>
      </w:r>
    </w:p>
  </w:footnote>
  <w:footnote w:type="continuationSeparator" w:id="0">
    <w:p w14:paraId="383A7A15" w14:textId="77777777" w:rsidR="003315D4" w:rsidRDefault="003315D4" w:rsidP="00AB5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77972" w14:textId="77777777" w:rsidR="00AB59BD" w:rsidRDefault="00AB59BD" w:rsidP="00AB59BD">
    <w:pPr>
      <w:pStyle w:val="Header"/>
      <w:jc w:val="right"/>
      <w:rPr>
        <w:noProof/>
        <w:lang w:eastAsia="lv-LV"/>
      </w:rPr>
    </w:pPr>
  </w:p>
  <w:p w14:paraId="1E1AB80C" w14:textId="77777777" w:rsidR="00AB49B6" w:rsidRDefault="00AB49B6" w:rsidP="00AB59B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7406"/>
    <w:multiLevelType w:val="hybridMultilevel"/>
    <w:tmpl w:val="A0FC94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EA35BB0"/>
    <w:multiLevelType w:val="hybridMultilevel"/>
    <w:tmpl w:val="962C8A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dis Līkosts">
    <w15:presenceInfo w15:providerId="None" w15:userId="Valdis Līkos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BD"/>
    <w:rsid w:val="000006DB"/>
    <w:rsid w:val="0002574E"/>
    <w:rsid w:val="000725A6"/>
    <w:rsid w:val="00095752"/>
    <w:rsid w:val="001B3C5D"/>
    <w:rsid w:val="00241FCA"/>
    <w:rsid w:val="002574B9"/>
    <w:rsid w:val="0028039C"/>
    <w:rsid w:val="003315D4"/>
    <w:rsid w:val="003B54F6"/>
    <w:rsid w:val="00423184"/>
    <w:rsid w:val="004B3EBC"/>
    <w:rsid w:val="005507C0"/>
    <w:rsid w:val="00672CA3"/>
    <w:rsid w:val="006A350A"/>
    <w:rsid w:val="006A789E"/>
    <w:rsid w:val="00762960"/>
    <w:rsid w:val="007925A1"/>
    <w:rsid w:val="008737D5"/>
    <w:rsid w:val="009A3EEA"/>
    <w:rsid w:val="009E5BCC"/>
    <w:rsid w:val="00A26A07"/>
    <w:rsid w:val="00AB49B6"/>
    <w:rsid w:val="00AB59BD"/>
    <w:rsid w:val="00AF3075"/>
    <w:rsid w:val="00B74801"/>
    <w:rsid w:val="00C43A15"/>
    <w:rsid w:val="00C8107F"/>
    <w:rsid w:val="00C963AF"/>
    <w:rsid w:val="00D2014F"/>
    <w:rsid w:val="00D52441"/>
    <w:rsid w:val="00D91EE4"/>
    <w:rsid w:val="00DA2AA5"/>
    <w:rsid w:val="00DA67F5"/>
    <w:rsid w:val="00DB266F"/>
    <w:rsid w:val="00DE78C4"/>
    <w:rsid w:val="00E36B6F"/>
    <w:rsid w:val="00E63655"/>
    <w:rsid w:val="00E643A9"/>
    <w:rsid w:val="00EE48E7"/>
    <w:rsid w:val="00F32EA2"/>
    <w:rsid w:val="00F504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9BD"/>
    <w:rPr>
      <w:rFonts w:eastAsia="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59BD"/>
    <w:rPr>
      <w:rFonts w:ascii="Calibri" w:eastAsia="Calibri" w:hAnsi="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9BD"/>
    <w:pPr>
      <w:tabs>
        <w:tab w:val="center" w:pos="4153"/>
        <w:tab w:val="right" w:pos="8306"/>
      </w:tabs>
    </w:pPr>
  </w:style>
  <w:style w:type="character" w:customStyle="1" w:styleId="HeaderChar">
    <w:name w:val="Header Char"/>
    <w:basedOn w:val="DefaultParagraphFont"/>
    <w:link w:val="Header"/>
    <w:uiPriority w:val="99"/>
    <w:rsid w:val="00AB59BD"/>
    <w:rPr>
      <w:rFonts w:ascii="Calibri" w:eastAsia="Times New Roman" w:hAnsi="Calibri"/>
      <w:sz w:val="22"/>
      <w:szCs w:val="22"/>
    </w:rPr>
  </w:style>
  <w:style w:type="paragraph" w:styleId="Footer">
    <w:name w:val="footer"/>
    <w:basedOn w:val="Normal"/>
    <w:link w:val="FooterChar"/>
    <w:uiPriority w:val="99"/>
    <w:unhideWhenUsed/>
    <w:rsid w:val="00AB59BD"/>
    <w:pPr>
      <w:tabs>
        <w:tab w:val="center" w:pos="4153"/>
        <w:tab w:val="right" w:pos="8306"/>
      </w:tabs>
    </w:pPr>
  </w:style>
  <w:style w:type="character" w:customStyle="1" w:styleId="FooterChar">
    <w:name w:val="Footer Char"/>
    <w:basedOn w:val="DefaultParagraphFont"/>
    <w:link w:val="Footer"/>
    <w:uiPriority w:val="99"/>
    <w:rsid w:val="00AB59BD"/>
    <w:rPr>
      <w:rFonts w:ascii="Calibri" w:eastAsia="Times New Roman" w:hAnsi="Calibri"/>
      <w:sz w:val="22"/>
      <w:szCs w:val="22"/>
    </w:rPr>
  </w:style>
  <w:style w:type="paragraph" w:styleId="BalloonText">
    <w:name w:val="Balloon Text"/>
    <w:basedOn w:val="Normal"/>
    <w:link w:val="BalloonTextChar"/>
    <w:uiPriority w:val="99"/>
    <w:semiHidden/>
    <w:unhideWhenUsed/>
    <w:rsid w:val="00AB59BD"/>
    <w:rPr>
      <w:rFonts w:ascii="Tahoma" w:hAnsi="Tahoma" w:cs="Tahoma"/>
      <w:sz w:val="16"/>
      <w:szCs w:val="16"/>
    </w:rPr>
  </w:style>
  <w:style w:type="character" w:customStyle="1" w:styleId="BalloonTextChar">
    <w:name w:val="Balloon Text Char"/>
    <w:basedOn w:val="DefaultParagraphFont"/>
    <w:link w:val="BalloonText"/>
    <w:uiPriority w:val="99"/>
    <w:semiHidden/>
    <w:rsid w:val="00AB59BD"/>
    <w:rPr>
      <w:rFonts w:ascii="Tahoma" w:eastAsia="Times New Roman" w:hAnsi="Tahoma" w:cs="Tahoma"/>
      <w:sz w:val="16"/>
      <w:szCs w:val="16"/>
    </w:rPr>
  </w:style>
  <w:style w:type="character" w:styleId="Hyperlink">
    <w:name w:val="Hyperlink"/>
    <w:basedOn w:val="DefaultParagraphFont"/>
    <w:uiPriority w:val="99"/>
    <w:unhideWhenUsed/>
    <w:rsid w:val="00AB59BD"/>
    <w:rPr>
      <w:color w:val="0000FF" w:themeColor="hyperlink"/>
      <w:u w:val="single"/>
    </w:rPr>
  </w:style>
  <w:style w:type="character" w:styleId="FollowedHyperlink">
    <w:name w:val="FollowedHyperlink"/>
    <w:basedOn w:val="DefaultParagraphFont"/>
    <w:uiPriority w:val="99"/>
    <w:semiHidden/>
    <w:unhideWhenUsed/>
    <w:rsid w:val="0028039C"/>
    <w:rPr>
      <w:color w:val="800080" w:themeColor="followedHyperlink"/>
      <w:u w:val="single"/>
    </w:rPr>
  </w:style>
  <w:style w:type="character" w:styleId="CommentReference">
    <w:name w:val="annotation reference"/>
    <w:basedOn w:val="DefaultParagraphFont"/>
    <w:uiPriority w:val="99"/>
    <w:semiHidden/>
    <w:unhideWhenUsed/>
    <w:rsid w:val="00241FCA"/>
    <w:rPr>
      <w:sz w:val="16"/>
      <w:szCs w:val="16"/>
    </w:rPr>
  </w:style>
  <w:style w:type="paragraph" w:styleId="CommentText">
    <w:name w:val="annotation text"/>
    <w:basedOn w:val="Normal"/>
    <w:link w:val="CommentTextChar"/>
    <w:uiPriority w:val="99"/>
    <w:semiHidden/>
    <w:unhideWhenUsed/>
    <w:rsid w:val="00241FCA"/>
    <w:rPr>
      <w:sz w:val="20"/>
      <w:szCs w:val="20"/>
    </w:rPr>
  </w:style>
  <w:style w:type="character" w:customStyle="1" w:styleId="CommentTextChar">
    <w:name w:val="Comment Text Char"/>
    <w:basedOn w:val="DefaultParagraphFont"/>
    <w:link w:val="CommentText"/>
    <w:uiPriority w:val="99"/>
    <w:semiHidden/>
    <w:rsid w:val="00241FCA"/>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41FCA"/>
    <w:rPr>
      <w:b/>
      <w:bCs/>
    </w:rPr>
  </w:style>
  <w:style w:type="character" w:customStyle="1" w:styleId="CommentSubjectChar">
    <w:name w:val="Comment Subject Char"/>
    <w:basedOn w:val="CommentTextChar"/>
    <w:link w:val="CommentSubject"/>
    <w:uiPriority w:val="99"/>
    <w:semiHidden/>
    <w:rsid w:val="00241FCA"/>
    <w:rPr>
      <w:rFonts w:eastAsia="Times New Roman"/>
      <w:b/>
      <w:bCs/>
      <w:sz w:val="20"/>
      <w:szCs w:val="20"/>
    </w:rPr>
  </w:style>
  <w:style w:type="paragraph" w:styleId="ListParagraph">
    <w:name w:val="List Paragraph"/>
    <w:basedOn w:val="Normal"/>
    <w:uiPriority w:val="34"/>
    <w:qFormat/>
    <w:rsid w:val="00E63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9BD"/>
    <w:rPr>
      <w:rFonts w:eastAsia="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59BD"/>
    <w:rPr>
      <w:rFonts w:ascii="Calibri" w:eastAsia="Calibri" w:hAnsi="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9BD"/>
    <w:pPr>
      <w:tabs>
        <w:tab w:val="center" w:pos="4153"/>
        <w:tab w:val="right" w:pos="8306"/>
      </w:tabs>
    </w:pPr>
  </w:style>
  <w:style w:type="character" w:customStyle="1" w:styleId="HeaderChar">
    <w:name w:val="Header Char"/>
    <w:basedOn w:val="DefaultParagraphFont"/>
    <w:link w:val="Header"/>
    <w:uiPriority w:val="99"/>
    <w:rsid w:val="00AB59BD"/>
    <w:rPr>
      <w:rFonts w:ascii="Calibri" w:eastAsia="Times New Roman" w:hAnsi="Calibri"/>
      <w:sz w:val="22"/>
      <w:szCs w:val="22"/>
    </w:rPr>
  </w:style>
  <w:style w:type="paragraph" w:styleId="Footer">
    <w:name w:val="footer"/>
    <w:basedOn w:val="Normal"/>
    <w:link w:val="FooterChar"/>
    <w:uiPriority w:val="99"/>
    <w:unhideWhenUsed/>
    <w:rsid w:val="00AB59BD"/>
    <w:pPr>
      <w:tabs>
        <w:tab w:val="center" w:pos="4153"/>
        <w:tab w:val="right" w:pos="8306"/>
      </w:tabs>
    </w:pPr>
  </w:style>
  <w:style w:type="character" w:customStyle="1" w:styleId="FooterChar">
    <w:name w:val="Footer Char"/>
    <w:basedOn w:val="DefaultParagraphFont"/>
    <w:link w:val="Footer"/>
    <w:uiPriority w:val="99"/>
    <w:rsid w:val="00AB59BD"/>
    <w:rPr>
      <w:rFonts w:ascii="Calibri" w:eastAsia="Times New Roman" w:hAnsi="Calibri"/>
      <w:sz w:val="22"/>
      <w:szCs w:val="22"/>
    </w:rPr>
  </w:style>
  <w:style w:type="paragraph" w:styleId="BalloonText">
    <w:name w:val="Balloon Text"/>
    <w:basedOn w:val="Normal"/>
    <w:link w:val="BalloonTextChar"/>
    <w:uiPriority w:val="99"/>
    <w:semiHidden/>
    <w:unhideWhenUsed/>
    <w:rsid w:val="00AB59BD"/>
    <w:rPr>
      <w:rFonts w:ascii="Tahoma" w:hAnsi="Tahoma" w:cs="Tahoma"/>
      <w:sz w:val="16"/>
      <w:szCs w:val="16"/>
    </w:rPr>
  </w:style>
  <w:style w:type="character" w:customStyle="1" w:styleId="BalloonTextChar">
    <w:name w:val="Balloon Text Char"/>
    <w:basedOn w:val="DefaultParagraphFont"/>
    <w:link w:val="BalloonText"/>
    <w:uiPriority w:val="99"/>
    <w:semiHidden/>
    <w:rsid w:val="00AB59BD"/>
    <w:rPr>
      <w:rFonts w:ascii="Tahoma" w:eastAsia="Times New Roman" w:hAnsi="Tahoma" w:cs="Tahoma"/>
      <w:sz w:val="16"/>
      <w:szCs w:val="16"/>
    </w:rPr>
  </w:style>
  <w:style w:type="character" w:styleId="Hyperlink">
    <w:name w:val="Hyperlink"/>
    <w:basedOn w:val="DefaultParagraphFont"/>
    <w:uiPriority w:val="99"/>
    <w:unhideWhenUsed/>
    <w:rsid w:val="00AB59BD"/>
    <w:rPr>
      <w:color w:val="0000FF" w:themeColor="hyperlink"/>
      <w:u w:val="single"/>
    </w:rPr>
  </w:style>
  <w:style w:type="character" w:styleId="FollowedHyperlink">
    <w:name w:val="FollowedHyperlink"/>
    <w:basedOn w:val="DefaultParagraphFont"/>
    <w:uiPriority w:val="99"/>
    <w:semiHidden/>
    <w:unhideWhenUsed/>
    <w:rsid w:val="0028039C"/>
    <w:rPr>
      <w:color w:val="800080" w:themeColor="followedHyperlink"/>
      <w:u w:val="single"/>
    </w:rPr>
  </w:style>
  <w:style w:type="character" w:styleId="CommentReference">
    <w:name w:val="annotation reference"/>
    <w:basedOn w:val="DefaultParagraphFont"/>
    <w:uiPriority w:val="99"/>
    <w:semiHidden/>
    <w:unhideWhenUsed/>
    <w:rsid w:val="00241FCA"/>
    <w:rPr>
      <w:sz w:val="16"/>
      <w:szCs w:val="16"/>
    </w:rPr>
  </w:style>
  <w:style w:type="paragraph" w:styleId="CommentText">
    <w:name w:val="annotation text"/>
    <w:basedOn w:val="Normal"/>
    <w:link w:val="CommentTextChar"/>
    <w:uiPriority w:val="99"/>
    <w:semiHidden/>
    <w:unhideWhenUsed/>
    <w:rsid w:val="00241FCA"/>
    <w:rPr>
      <w:sz w:val="20"/>
      <w:szCs w:val="20"/>
    </w:rPr>
  </w:style>
  <w:style w:type="character" w:customStyle="1" w:styleId="CommentTextChar">
    <w:name w:val="Comment Text Char"/>
    <w:basedOn w:val="DefaultParagraphFont"/>
    <w:link w:val="CommentText"/>
    <w:uiPriority w:val="99"/>
    <w:semiHidden/>
    <w:rsid w:val="00241FCA"/>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41FCA"/>
    <w:rPr>
      <w:b/>
      <w:bCs/>
    </w:rPr>
  </w:style>
  <w:style w:type="character" w:customStyle="1" w:styleId="CommentSubjectChar">
    <w:name w:val="Comment Subject Char"/>
    <w:basedOn w:val="CommentTextChar"/>
    <w:link w:val="CommentSubject"/>
    <w:uiPriority w:val="99"/>
    <w:semiHidden/>
    <w:rsid w:val="00241FCA"/>
    <w:rPr>
      <w:rFonts w:eastAsia="Times New Roman"/>
      <w:b/>
      <w:bCs/>
      <w:sz w:val="20"/>
      <w:szCs w:val="20"/>
    </w:rPr>
  </w:style>
  <w:style w:type="paragraph" w:styleId="ListParagraph">
    <w:name w:val="List Paragraph"/>
    <w:basedOn w:val="Normal"/>
    <w:uiPriority w:val="34"/>
    <w:qFormat/>
    <w:rsid w:val="00E63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ikumi.lv/wwwraksti/2016/020/35/P2.DOCX" TargetMode="External"/><Relationship Id="rId4" Type="http://schemas.microsoft.com/office/2007/relationships/stylesWithEffects" Target="stylesWithEffects.xml"/><Relationship Id="rId9" Type="http://schemas.openxmlformats.org/officeDocument/2006/relationships/hyperlink" Target="http://likumi.lv/ta/id/279830"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521C3-CA5A-4180-BADD-568C5CEE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10322</Words>
  <Characters>5885</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dc:creator>
  <cp:lastModifiedBy>GK</cp:lastModifiedBy>
  <cp:revision>3</cp:revision>
  <dcterms:created xsi:type="dcterms:W3CDTF">2016-04-07T07:43:00Z</dcterms:created>
  <dcterms:modified xsi:type="dcterms:W3CDTF">2016-04-11T09:44:00Z</dcterms:modified>
</cp:coreProperties>
</file>